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7C0E3" w14:textId="37BE4EC8" w:rsidR="0061754A" w:rsidRPr="00981EFF" w:rsidRDefault="0061754A" w:rsidP="0061754A">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sidR="00157DA4">
        <w:rPr>
          <w:rFonts w:ascii="Arial" w:hAnsi="Arial" w:cs="Arial" w:hint="eastAsia"/>
          <w:bCs/>
          <w:color w:val="000000"/>
          <w:sz w:val="22"/>
          <w:szCs w:val="22"/>
        </w:rPr>
        <w:t>7</w:t>
      </w:r>
      <w:r w:rsidR="00A504E7">
        <w:rPr>
          <w:rFonts w:ascii="Arial" w:hAnsi="Arial" w:cs="Arial" w:hint="eastAsia"/>
          <w:bCs/>
          <w:color w:val="000000"/>
          <w:sz w:val="22"/>
          <w:szCs w:val="22"/>
        </w:rPr>
        <w:t>bis</w:t>
      </w:r>
      <w:r w:rsidRPr="00981EFF">
        <w:rPr>
          <w:rFonts w:ascii="Arial" w:hAnsi="Arial" w:cs="Arial"/>
          <w:bCs/>
          <w:color w:val="000000"/>
          <w:sz w:val="22"/>
          <w:szCs w:val="22"/>
        </w:rPr>
        <w:tab/>
      </w:r>
      <w:r w:rsidR="007C759B" w:rsidRPr="007C759B">
        <w:rPr>
          <w:sz w:val="28"/>
          <w:szCs w:val="28"/>
        </w:rPr>
        <w:t>R3-252144</w:t>
      </w:r>
    </w:p>
    <w:p w14:paraId="45DF9384" w14:textId="3232CD12" w:rsidR="0061754A" w:rsidRPr="00981EFF" w:rsidRDefault="00C56F1C" w:rsidP="0061754A">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Wuhan</w:t>
      </w:r>
      <w:r w:rsidR="0061754A">
        <w:rPr>
          <w:rFonts w:ascii="Arial" w:hAnsi="Arial" w:cs="Arial" w:hint="eastAsia"/>
          <w:bCs/>
          <w:color w:val="000000"/>
          <w:sz w:val="22"/>
          <w:szCs w:val="22"/>
        </w:rPr>
        <w:t xml:space="preserve">, </w:t>
      </w:r>
      <w:r>
        <w:rPr>
          <w:rFonts w:ascii="Arial" w:hAnsi="Arial" w:cs="Arial" w:hint="eastAsia"/>
          <w:bCs/>
          <w:color w:val="000000"/>
          <w:sz w:val="22"/>
          <w:szCs w:val="22"/>
        </w:rPr>
        <w:t>CN</w:t>
      </w:r>
      <w:r w:rsidR="0061754A" w:rsidRPr="00981EFF">
        <w:rPr>
          <w:rFonts w:ascii="Arial" w:hAnsi="Arial" w:cs="Arial"/>
          <w:bCs/>
          <w:color w:val="000000"/>
          <w:sz w:val="22"/>
          <w:szCs w:val="22"/>
        </w:rPr>
        <w:t xml:space="preserve">, </w:t>
      </w:r>
      <w:r w:rsidR="00157DA4">
        <w:rPr>
          <w:rFonts w:ascii="Arial" w:hAnsi="Arial" w:cs="Arial" w:hint="eastAsia"/>
          <w:bCs/>
          <w:color w:val="000000"/>
          <w:sz w:val="22"/>
          <w:szCs w:val="22"/>
        </w:rPr>
        <w:t>7</w:t>
      </w:r>
      <w:r w:rsidR="0061754A">
        <w:rPr>
          <w:rFonts w:ascii="Arial" w:hAnsi="Arial" w:cs="Arial"/>
          <w:bCs/>
          <w:color w:val="000000"/>
          <w:sz w:val="22"/>
          <w:szCs w:val="22"/>
        </w:rPr>
        <w:t xml:space="preserve"> – </w:t>
      </w:r>
      <w:r>
        <w:rPr>
          <w:rFonts w:ascii="Arial" w:hAnsi="Arial" w:cs="Arial" w:hint="eastAsia"/>
          <w:bCs/>
          <w:color w:val="000000"/>
          <w:sz w:val="22"/>
          <w:szCs w:val="22"/>
        </w:rPr>
        <w:t>11</w:t>
      </w:r>
      <w:r w:rsidR="0061754A">
        <w:rPr>
          <w:rFonts w:ascii="Arial" w:hAnsi="Arial" w:cs="Arial"/>
          <w:bCs/>
          <w:color w:val="000000"/>
          <w:sz w:val="22"/>
          <w:szCs w:val="22"/>
        </w:rPr>
        <w:t xml:space="preserve"> </w:t>
      </w:r>
      <w:r>
        <w:rPr>
          <w:rFonts w:ascii="Arial" w:hAnsi="Arial" w:cs="Arial" w:hint="eastAsia"/>
          <w:bCs/>
          <w:color w:val="000000"/>
          <w:sz w:val="22"/>
          <w:szCs w:val="22"/>
        </w:rPr>
        <w:t>Apr</w:t>
      </w:r>
      <w:r w:rsidR="0061754A">
        <w:rPr>
          <w:rFonts w:ascii="Arial" w:hAnsi="Arial" w:cs="Arial" w:hint="eastAsia"/>
          <w:bCs/>
          <w:color w:val="000000"/>
          <w:sz w:val="22"/>
          <w:szCs w:val="22"/>
        </w:rPr>
        <w:t>.</w:t>
      </w:r>
      <w:r w:rsidR="0061754A" w:rsidRPr="00981EFF">
        <w:rPr>
          <w:rFonts w:ascii="Arial" w:hAnsi="Arial" w:cs="Arial"/>
          <w:bCs/>
          <w:color w:val="000000"/>
          <w:sz w:val="22"/>
          <w:szCs w:val="22"/>
        </w:rPr>
        <w:t xml:space="preserve"> 202</w:t>
      </w:r>
      <w:bookmarkEnd w:id="0"/>
      <w:r w:rsidR="00157DA4">
        <w:rPr>
          <w:rFonts w:ascii="Arial" w:hAnsi="Arial" w:cs="Arial" w:hint="eastAsia"/>
          <w:bCs/>
          <w:color w:val="000000"/>
          <w:sz w:val="22"/>
          <w:szCs w:val="22"/>
        </w:rPr>
        <w:t>5</w:t>
      </w:r>
    </w:p>
    <w:p w14:paraId="6A931CDB" w14:textId="7253F2EA" w:rsidR="00EB6E3D" w:rsidRPr="0070046B" w:rsidRDefault="00EB6E3D" w:rsidP="00EB6E3D">
      <w:pPr>
        <w:pStyle w:val="3GPPHeader"/>
        <w:rPr>
          <w:rFonts w:ascii="Arial" w:hAnsi="Arial" w:cs="Arial"/>
          <w:bCs/>
          <w:color w:val="000000"/>
          <w:sz w:val="22"/>
          <w:szCs w:val="22"/>
          <w:lang w:val="en-GB"/>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70046B" w:rsidRPr="0070046B">
        <w:rPr>
          <w:rFonts w:ascii="Arial" w:hAnsi="Arial" w:cs="Arial"/>
          <w:bCs/>
          <w:color w:val="000000"/>
          <w:sz w:val="22"/>
          <w:szCs w:val="22"/>
          <w:lang w:val="en-GB"/>
        </w:rPr>
        <w:t>31.2. Enhancements</w:t>
      </w:r>
    </w:p>
    <w:p w14:paraId="28C7009C" w14:textId="12170BD1"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r w:rsidRPr="00EA615A">
        <w:rPr>
          <w:rFonts w:ascii="Arial" w:hAnsi="Arial" w:cs="Arial"/>
          <w:bCs/>
          <w:color w:val="000000"/>
          <w:sz w:val="22"/>
          <w:szCs w:val="22"/>
        </w:rPr>
        <w:t>.</w:t>
      </w:r>
      <w:r w:rsidR="00917F62" w:rsidRPr="00EA615A">
        <w:rPr>
          <w:rFonts w:ascii="Arial" w:hAnsi="Arial" w:cs="Arial" w:hint="eastAsia"/>
          <w:bCs/>
          <w:color w:val="000000"/>
          <w:sz w:val="22"/>
          <w:szCs w:val="22"/>
        </w:rPr>
        <w:t>, Nokia</w:t>
      </w:r>
      <w:r w:rsidR="000A0539">
        <w:rPr>
          <w:rFonts w:ascii="Arial" w:hAnsi="Arial" w:cs="Arial" w:hint="eastAsia"/>
          <w:bCs/>
          <w:color w:val="000000"/>
          <w:sz w:val="22"/>
          <w:szCs w:val="22"/>
        </w:rPr>
        <w:t xml:space="preserve">, </w:t>
      </w:r>
      <w:r w:rsidR="002B174D">
        <w:rPr>
          <w:rFonts w:ascii="Arial" w:hAnsi="Arial" w:cs="Arial" w:hint="eastAsia"/>
          <w:bCs/>
          <w:color w:val="000000"/>
          <w:sz w:val="22"/>
          <w:szCs w:val="22"/>
        </w:rPr>
        <w:t xml:space="preserve">Huawei, </w:t>
      </w:r>
      <w:r w:rsidR="000A0539" w:rsidRPr="002B174D">
        <w:rPr>
          <w:rFonts w:ascii="Arial" w:hAnsi="Arial" w:cs="Arial" w:hint="eastAsia"/>
          <w:bCs/>
          <w:color w:val="000000"/>
          <w:sz w:val="22"/>
          <w:szCs w:val="22"/>
        </w:rPr>
        <w:t>Vodafone</w:t>
      </w:r>
      <w:r w:rsidR="00A02576">
        <w:rPr>
          <w:rFonts w:ascii="Arial" w:hAnsi="Arial" w:cs="Arial" w:hint="eastAsia"/>
          <w:bCs/>
          <w:color w:val="000000"/>
          <w:sz w:val="22"/>
          <w:szCs w:val="22"/>
        </w:rPr>
        <w:t xml:space="preserve">, CATT, </w:t>
      </w:r>
      <w:r w:rsidR="00A36061" w:rsidRPr="00A36061">
        <w:rPr>
          <w:rFonts w:ascii="Arial" w:hAnsi="Arial" w:cs="Arial"/>
          <w:bCs/>
          <w:color w:val="000000"/>
          <w:sz w:val="22"/>
          <w:szCs w:val="22"/>
        </w:rPr>
        <w:t>LG Electronics</w:t>
      </w:r>
      <w:r w:rsidR="00A02576">
        <w:rPr>
          <w:rFonts w:ascii="Arial" w:hAnsi="Arial" w:cs="Arial" w:hint="eastAsia"/>
          <w:bCs/>
          <w:color w:val="000000"/>
          <w:sz w:val="22"/>
          <w:szCs w:val="22"/>
        </w:rPr>
        <w:t>, NEC, Fujitsu</w:t>
      </w:r>
    </w:p>
    <w:p w14:paraId="756F2E98" w14:textId="1762274E"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771353">
        <w:rPr>
          <w:rFonts w:ascii="Arial" w:hAnsi="Arial" w:cs="Arial" w:hint="eastAsia"/>
          <w:bCs/>
          <w:color w:val="000000"/>
          <w:sz w:val="22"/>
          <w:szCs w:val="22"/>
        </w:rPr>
        <w:t xml:space="preserve">Enhancement of </w:t>
      </w:r>
      <w:r w:rsidR="00157DA4" w:rsidRPr="00157DA4">
        <w:rPr>
          <w:rFonts w:ascii="Arial" w:hAnsi="Arial" w:cs="Arial"/>
          <w:bCs/>
          <w:color w:val="000000"/>
          <w:sz w:val="22"/>
          <w:szCs w:val="22"/>
        </w:rPr>
        <w:t>NR to LTE mobility restriction</w:t>
      </w:r>
    </w:p>
    <w:p w14:paraId="455B79D3" w14:textId="253F88F5"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 xml:space="preserve">Discussion, </w:t>
      </w:r>
      <w:r w:rsidR="00917F62" w:rsidRPr="00A504E7">
        <w:rPr>
          <w:rFonts w:ascii="Arial" w:hAnsi="Arial" w:cs="Arial" w:hint="eastAsia"/>
          <w:bCs/>
          <w:color w:val="000000"/>
          <w:sz w:val="22"/>
          <w:szCs w:val="22"/>
        </w:rPr>
        <w:t>approval</w:t>
      </w:r>
    </w:p>
    <w:p w14:paraId="19ABC207" w14:textId="77777777" w:rsidR="00E250A8" w:rsidRPr="008D2440" w:rsidRDefault="00E250A8">
      <w:pPr>
        <w:pStyle w:val="1"/>
      </w:pPr>
      <w:r w:rsidRPr="008D2440">
        <w:t>Introduction</w:t>
      </w:r>
    </w:p>
    <w:p w14:paraId="5364FA8D" w14:textId="71A482FF" w:rsidR="005A64F9" w:rsidRDefault="005A64F9" w:rsidP="005A64F9">
      <w:pPr>
        <w:spacing w:after="0"/>
      </w:pPr>
      <w:r>
        <w:t xml:space="preserve">In TS 38.413, Mobility Restriction List IE is specified, and this IE can be included in some messages (e.g. HANDOVER REQUEST) to indicate restriction information for the UE from AMF to </w:t>
      </w:r>
      <w:proofErr w:type="spellStart"/>
      <w:r>
        <w:t>gNB</w:t>
      </w:r>
      <w:proofErr w:type="spellEnd"/>
      <w:r>
        <w:t>. This IE includes Forbidden TACs within Forbidden Area Information to which the UE is prohibited to access. However, this IE refers TAC for NR defined as 3 octets, hence current NGAP specification does not support to configure 2 octets TAC for E-UTRAN as a forbidden TAC.</w:t>
      </w:r>
      <w:r w:rsidR="004D597D">
        <w:rPr>
          <w:rFonts w:hint="eastAsia"/>
        </w:rPr>
        <w:t xml:space="preserve"> Also, </w:t>
      </w:r>
      <w:r>
        <w:t xml:space="preserve">TS 23.501 specifies the high level principle of Mobility Restriction. </w:t>
      </w:r>
    </w:p>
    <w:p w14:paraId="4A85E669" w14:textId="77777777" w:rsidR="004D597D" w:rsidRDefault="004D597D" w:rsidP="005A64F9">
      <w:pPr>
        <w:spacing w:after="0"/>
      </w:pPr>
    </w:p>
    <w:p w14:paraId="19A9134B" w14:textId="32DBB016" w:rsidR="004D597D" w:rsidRDefault="004D597D" w:rsidP="005A64F9">
      <w:pPr>
        <w:spacing w:after="0"/>
      </w:pPr>
      <w:r>
        <w:rPr>
          <w:rFonts w:hint="eastAsia"/>
        </w:rPr>
        <w:t xml:space="preserve">In the last meeting, </w:t>
      </w:r>
      <w:r w:rsidR="00682C21">
        <w:rPr>
          <w:rFonts w:hint="eastAsia"/>
        </w:rPr>
        <w:t xml:space="preserve">we submitted discussion paper [1] for </w:t>
      </w:r>
      <w:r>
        <w:rPr>
          <w:rFonts w:hint="eastAsia"/>
        </w:rPr>
        <w:t>this enhancement and following was captured:</w:t>
      </w:r>
    </w:p>
    <w:p w14:paraId="596004FB" w14:textId="77777777" w:rsidR="004D597D" w:rsidRPr="004D597D" w:rsidRDefault="004D597D" w:rsidP="00EA615A">
      <w:pPr>
        <w:widowControl w:val="0"/>
        <w:overflowPunct w:val="0"/>
        <w:autoSpaceDE w:val="0"/>
        <w:autoSpaceDN w:val="0"/>
        <w:adjustRightInd w:val="0"/>
        <w:spacing w:before="100" w:beforeAutospacing="1" w:after="180"/>
        <w:ind w:leftChars="100" w:left="364" w:hanging="144"/>
        <w:textAlignment w:val="baseline"/>
        <w:rPr>
          <w:rFonts w:eastAsia="SimSun" w:cs="Calibri"/>
          <w:sz w:val="18"/>
          <w:lang w:eastAsia="en-US"/>
        </w:rPr>
      </w:pPr>
      <w:r w:rsidRPr="004D597D">
        <w:rPr>
          <w:rFonts w:eastAsia="SimSun" w:cs="Calibri"/>
          <w:sz w:val="18"/>
          <w:lang w:eastAsia="en-US"/>
        </w:rPr>
        <w:t xml:space="preserve">Resp in </w:t>
      </w:r>
      <w:hyperlink r:id="rId11" w:history="1">
        <w:r w:rsidRPr="004D597D">
          <w:rPr>
            <w:rFonts w:eastAsia="SimSun" w:cs="Calibri"/>
            <w:color w:val="0000FF"/>
            <w:sz w:val="18"/>
            <w:u w:val="single"/>
            <w:lang w:eastAsia="en-US"/>
          </w:rPr>
          <w:t>R3-250753</w:t>
        </w:r>
      </w:hyperlink>
    </w:p>
    <w:p w14:paraId="53ABF1B1" w14:textId="77777777" w:rsidR="004D597D" w:rsidRPr="004D597D" w:rsidRDefault="004D597D" w:rsidP="00EA615A">
      <w:pPr>
        <w:widowControl w:val="0"/>
        <w:overflowPunct w:val="0"/>
        <w:autoSpaceDE w:val="0"/>
        <w:autoSpaceDN w:val="0"/>
        <w:adjustRightInd w:val="0"/>
        <w:spacing w:before="100" w:beforeAutospacing="1" w:after="180"/>
        <w:ind w:leftChars="100" w:left="364" w:hanging="144"/>
        <w:textAlignment w:val="baseline"/>
        <w:rPr>
          <w:rFonts w:eastAsia="SimSun" w:cs="Calibri"/>
          <w:sz w:val="18"/>
          <w:lang w:eastAsia="en-US"/>
        </w:rPr>
      </w:pPr>
      <w:r w:rsidRPr="004D597D">
        <w:rPr>
          <w:rFonts w:eastAsia="SimSun" w:cs="Calibri"/>
          <w:sz w:val="18"/>
          <w:lang w:eastAsia="en-US"/>
        </w:rPr>
        <w:t>E///: This is a new feature which should start in SA2 first. There is no evidence that EPS TAC is supported in registration request towards UE</w:t>
      </w:r>
    </w:p>
    <w:p w14:paraId="0663EB58" w14:textId="77777777" w:rsidR="004D597D" w:rsidRPr="004D597D" w:rsidRDefault="004D597D" w:rsidP="00EA615A">
      <w:pPr>
        <w:widowControl w:val="0"/>
        <w:overflowPunct w:val="0"/>
        <w:autoSpaceDE w:val="0"/>
        <w:autoSpaceDN w:val="0"/>
        <w:adjustRightInd w:val="0"/>
        <w:spacing w:before="100" w:beforeAutospacing="1" w:after="180"/>
        <w:ind w:leftChars="100" w:left="364" w:hanging="144"/>
        <w:textAlignment w:val="baseline"/>
        <w:rPr>
          <w:rFonts w:eastAsia="SimSun" w:cs="Calibri"/>
          <w:sz w:val="18"/>
          <w:lang w:eastAsia="zh-CN"/>
        </w:rPr>
      </w:pPr>
      <w:r w:rsidRPr="004D597D">
        <w:rPr>
          <w:rFonts w:eastAsia="SimSun" w:cs="Calibri" w:hint="eastAsia"/>
          <w:sz w:val="18"/>
          <w:lang w:eastAsia="zh-CN"/>
        </w:rPr>
        <w:t>N</w:t>
      </w:r>
      <w:r w:rsidRPr="004D597D">
        <w:rPr>
          <w:rFonts w:eastAsia="SimSun" w:cs="Calibri"/>
          <w:sz w:val="18"/>
          <w:lang w:eastAsia="zh-CN"/>
        </w:rPr>
        <w:t>TT Docomo: What can we do for now?</w:t>
      </w:r>
    </w:p>
    <w:p w14:paraId="424852DB" w14:textId="77777777" w:rsidR="004D597D" w:rsidRPr="004D597D" w:rsidRDefault="004D597D" w:rsidP="00EA615A">
      <w:pPr>
        <w:widowControl w:val="0"/>
        <w:overflowPunct w:val="0"/>
        <w:autoSpaceDE w:val="0"/>
        <w:autoSpaceDN w:val="0"/>
        <w:adjustRightInd w:val="0"/>
        <w:spacing w:before="100" w:beforeAutospacing="1" w:after="180"/>
        <w:ind w:leftChars="100" w:left="364" w:hanging="144"/>
        <w:textAlignment w:val="baseline"/>
        <w:rPr>
          <w:rFonts w:eastAsia="SimSun" w:cs="Calibri"/>
          <w:sz w:val="18"/>
          <w:lang w:eastAsia="zh-CN"/>
        </w:rPr>
      </w:pPr>
      <w:r w:rsidRPr="004D597D">
        <w:rPr>
          <w:rFonts w:eastAsia="SimSun" w:cs="Calibri"/>
          <w:sz w:val="18"/>
          <w:lang w:eastAsia="zh-CN"/>
        </w:rPr>
        <w:t>Nok: Encoding issue</w:t>
      </w:r>
    </w:p>
    <w:p w14:paraId="2DCBB81C" w14:textId="6B9F64C3" w:rsidR="004D597D" w:rsidRPr="004D597D" w:rsidRDefault="004D597D" w:rsidP="00EA615A">
      <w:pPr>
        <w:spacing w:after="0"/>
        <w:ind w:leftChars="200" w:left="440"/>
      </w:pPr>
      <w:r w:rsidRPr="004D597D">
        <w:rPr>
          <w:rFonts w:eastAsia="SimSun" w:cs="Calibri"/>
          <w:sz w:val="18"/>
          <w:lang w:eastAsia="zh-CN"/>
        </w:rPr>
        <w:t>noted</w:t>
      </w:r>
    </w:p>
    <w:p w14:paraId="0F8094EE" w14:textId="77777777" w:rsidR="004D597D" w:rsidRDefault="004D597D" w:rsidP="005A64F9">
      <w:pPr>
        <w:spacing w:after="0"/>
      </w:pPr>
    </w:p>
    <w:p w14:paraId="4F457356" w14:textId="63ECC57E" w:rsidR="00840AD1" w:rsidRDefault="005A64F9" w:rsidP="005A64F9">
      <w:pPr>
        <w:spacing w:after="0"/>
      </w:pPr>
      <w:r>
        <w:t>This contribution discusses the enhancement to NGAP specification and LS to SA2 to realize above enhancement.</w:t>
      </w:r>
    </w:p>
    <w:p w14:paraId="6E5DBE82" w14:textId="1E6816F5" w:rsidR="00E250A8" w:rsidRPr="00EF0F32" w:rsidRDefault="00153462">
      <w:pPr>
        <w:pStyle w:val="1"/>
      </w:pPr>
      <w:r w:rsidRPr="00EF0F32">
        <w:t>Discussion</w:t>
      </w:r>
    </w:p>
    <w:p w14:paraId="63FBA40D" w14:textId="29DF9E27" w:rsidR="00783F2F" w:rsidRDefault="00750E63" w:rsidP="00AB4B1D">
      <w:r w:rsidRPr="00750E63">
        <w:t xml:space="preserve">A high level principle for Mobility Restriction function is specified in TS23.501. In RRC_IDLE/INACTIVE state, this function is executed by UE. In RRC_CONNECTED, this function is executed by RAN and CN. </w:t>
      </w:r>
      <w:r w:rsidR="00EA615A" w:rsidRPr="009D030E">
        <w:rPr>
          <w:rFonts w:hint="eastAsia"/>
        </w:rPr>
        <w:t xml:space="preserve">From operator perspective, this function is useful in some cases. The figure shows the example scenario. </w:t>
      </w:r>
      <w:r w:rsidR="002D2B1B" w:rsidRPr="009D030E">
        <w:rPr>
          <w:rFonts w:hint="eastAsia"/>
        </w:rPr>
        <w:t xml:space="preserve">In some deployments, there is an area in which limited users can access the RAN and it is managed based on subscription information. </w:t>
      </w:r>
      <w:r w:rsidR="009D030E" w:rsidRPr="002B174D">
        <w:rPr>
          <w:rFonts w:hint="eastAsia"/>
        </w:rPr>
        <w:t xml:space="preserve">This area is configured as forbidden area to which UE is restricted to access, and this area would be, for example, MPN (Mobile Private Network), </w:t>
      </w:r>
      <w:r w:rsidR="009D030E" w:rsidRPr="002B174D">
        <w:t>military zones</w:t>
      </w:r>
      <w:r w:rsidR="009D030E" w:rsidRPr="002B174D">
        <w:rPr>
          <w:rFonts w:hint="eastAsia"/>
        </w:rPr>
        <w:t>,</w:t>
      </w:r>
      <w:r w:rsidR="009D030E" w:rsidRPr="002B174D">
        <w:t xml:space="preserve"> or enterprise specific area</w:t>
      </w:r>
      <w:r w:rsidR="009D030E" w:rsidRPr="002B174D">
        <w:rPr>
          <w:rFonts w:hint="eastAsia"/>
        </w:rPr>
        <w:t>.</w:t>
      </w:r>
      <w:r w:rsidR="009D030E">
        <w:rPr>
          <w:rFonts w:hint="eastAsia"/>
        </w:rPr>
        <w:t xml:space="preserve"> </w:t>
      </w:r>
      <w:r w:rsidR="00783F2F" w:rsidRPr="009D030E">
        <w:t xml:space="preserve">In case A, the forbidden area is neighboring to the non-forbidden area, and both are covered by LTE cells. This situation may occur in early phase of migration. In case B, the layout of the forbidden area and the non-forbidden area is the same as in case A, but the NR SA area has been deployed little bit, and there is a place where NR SA area and LTE area are adjacent. In case C, the forbidden area situation is the same, and NR SA has been fully deployed, and all areas are covered by NR SA cells. The handover from the non-forbidden area to the forbidden area is avoided by mobility restriction function provided by EPC in case A and 5GC in case C, respectively. On the other hand, in case B, the handover to the forbidden area cannot be avoided because 5GC cannot configure the mobility restriction to LTE cells based on existing specification. </w:t>
      </w:r>
      <w:r w:rsidR="00783F2F" w:rsidRPr="009D030E">
        <w:rPr>
          <w:rFonts w:hint="eastAsia"/>
        </w:rPr>
        <w:t>Proposed</w:t>
      </w:r>
      <w:r w:rsidR="00783F2F" w:rsidRPr="009D030E">
        <w:t xml:space="preserve"> enhancement</w:t>
      </w:r>
      <w:r w:rsidR="00783F2F" w:rsidRPr="009D030E">
        <w:rPr>
          <w:rFonts w:hint="eastAsia"/>
        </w:rPr>
        <w:t xml:space="preserve"> in this paper</w:t>
      </w:r>
      <w:r w:rsidR="00783F2F" w:rsidRPr="009D030E">
        <w:t xml:space="preserve"> realizes mobility restriction even in such situation.</w:t>
      </w:r>
    </w:p>
    <w:p w14:paraId="6FA1B0B1" w14:textId="405B7C3C" w:rsidR="00EA615A" w:rsidRDefault="00783F2F" w:rsidP="002B174D">
      <w:pPr>
        <w:spacing w:after="0"/>
        <w:jc w:val="center"/>
      </w:pPr>
      <w:r>
        <w:br w:type="page"/>
      </w:r>
      <w:r w:rsidR="00247A9A">
        <w:rPr>
          <w:noProof/>
        </w:rPr>
        <w:lastRenderedPageBreak/>
        <w:drawing>
          <wp:inline distT="0" distB="0" distL="0" distR="0" wp14:anchorId="2876531F" wp14:editId="4E6B7165">
            <wp:extent cx="5141911" cy="2452107"/>
            <wp:effectExtent l="0" t="0" r="1905" b="0"/>
            <wp:docPr id="136438797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14266" cy="2486612"/>
                    </a:xfrm>
                    <a:prstGeom prst="rect">
                      <a:avLst/>
                    </a:prstGeom>
                    <a:noFill/>
                    <a:ln>
                      <a:noFill/>
                    </a:ln>
                  </pic:spPr>
                </pic:pic>
              </a:graphicData>
            </a:graphic>
          </wp:inline>
        </w:drawing>
      </w:r>
    </w:p>
    <w:p w14:paraId="0527522D" w14:textId="5EE1E523" w:rsidR="00247A9A" w:rsidRPr="00247A9A" w:rsidRDefault="00247A9A" w:rsidP="00247A9A">
      <w:pPr>
        <w:jc w:val="center"/>
      </w:pPr>
      <w:r w:rsidRPr="002B174D">
        <w:rPr>
          <w:rFonts w:hint="eastAsia"/>
        </w:rPr>
        <w:t>Fig. example scenario for forbidden area.</w:t>
      </w:r>
    </w:p>
    <w:p w14:paraId="6AE9253C" w14:textId="593511E0" w:rsidR="0087082E" w:rsidRDefault="00750E63" w:rsidP="00AB4B1D">
      <w:r w:rsidRPr="00750E63">
        <w:t>In RRC_CONNECTED, CR [</w:t>
      </w:r>
      <w:r w:rsidR="00682C21">
        <w:rPr>
          <w:rFonts w:hint="eastAsia"/>
        </w:rPr>
        <w:t>2</w:t>
      </w:r>
      <w:r w:rsidRPr="00750E63">
        <w:t xml:space="preserve">] proposes an enhancement to include 2 octet EPS TACs as forbidden areas in the </w:t>
      </w:r>
      <w:r w:rsidRPr="00EA615A">
        <w:rPr>
          <w:i/>
          <w:iCs/>
        </w:rPr>
        <w:t>Mobility Restriction List</w:t>
      </w:r>
      <w:r w:rsidRPr="00750E63">
        <w:t xml:space="preserve"> IE in NGAP to restrict access to specific EPS TACs. From the operator's point of view, there is a strong demand for the function </w:t>
      </w:r>
      <w:r>
        <w:rPr>
          <w:rFonts w:hint="eastAsia"/>
        </w:rPr>
        <w:t xml:space="preserve">which </w:t>
      </w:r>
      <w:r w:rsidRPr="00750E63">
        <w:t>allows to restrict mobility from NR to specific EPS TACs in RRC_CONNECTED state based on user subscription information, so RAN3 should discuss this enhancement.</w:t>
      </w:r>
    </w:p>
    <w:p w14:paraId="370380D6" w14:textId="57505A86" w:rsidR="00750E63" w:rsidRDefault="00750E63" w:rsidP="00750E63">
      <w:pPr>
        <w:pStyle w:val="ProposalandObservation"/>
      </w:pPr>
      <w:r w:rsidRPr="00AB5A81">
        <w:t>Proposal</w:t>
      </w:r>
      <w:r>
        <w:rPr>
          <w:rFonts w:hint="eastAsia"/>
        </w:rPr>
        <w:t xml:space="preserve"> 1</w:t>
      </w:r>
      <w:r w:rsidRPr="00AB5A81">
        <w:t>:</w:t>
      </w:r>
      <w:r>
        <w:tab/>
      </w:r>
      <w:r w:rsidRPr="00750E63">
        <w:t>RAN3 to discuss enhancement of mobility restriction for EPS TAC on NGAP.</w:t>
      </w:r>
    </w:p>
    <w:p w14:paraId="2958BDB0" w14:textId="77777777" w:rsidR="00750E63" w:rsidRDefault="00750E63" w:rsidP="00AB4B1D"/>
    <w:p w14:paraId="56DDA53E" w14:textId="3085E4AB" w:rsidR="00750E63" w:rsidRDefault="00750E63" w:rsidP="00AB4B1D">
      <w:r w:rsidRPr="00750E63">
        <w:t>The UE behavior in 5GS regarding mobility restriction is specified in TS24.501, where the forbidden area can include only 3 octet NR TAC. On the other hand, since the UE can simultaneously register with the EPS and the information related to mobility restriction to EPS TAC can be received directly from EPC, mobility toward specific EPS TAC can be restricted even if 5GC cannot configure 2 octet EPS TAC as a forbidden area.</w:t>
      </w:r>
    </w:p>
    <w:p w14:paraId="4A3BC37B" w14:textId="77A278F5" w:rsidR="00750E63" w:rsidRDefault="00750E63" w:rsidP="00AB4B1D">
      <w:r>
        <w:rPr>
          <w:rFonts w:hint="eastAsia"/>
        </w:rPr>
        <w:t>T</w:t>
      </w:r>
      <w:r w:rsidRPr="00750E63">
        <w:t xml:space="preserve">he NW behavior related to the mobility restriction is basically based on the information exchanged in the Mobility Restriction List IE in the NGAP, but </w:t>
      </w:r>
      <w:proofErr w:type="spellStart"/>
      <w:r w:rsidRPr="00750E63">
        <w:t>gNB</w:t>
      </w:r>
      <w:proofErr w:type="spellEnd"/>
      <w:r w:rsidRPr="00750E63">
        <w:t xml:space="preserve"> cannot receive mobility restriction for EPS TAC from EPS. Also, in the TS23.501 referenced by this IE, there is no restriction on the octet length of the TAC that can be configured as a forbidden area.</w:t>
      </w:r>
    </w:p>
    <w:p w14:paraId="262A8F8C" w14:textId="4D256DFF" w:rsidR="00750E63" w:rsidRDefault="00750E63" w:rsidP="00AB4B1D">
      <w:r w:rsidRPr="00750E63">
        <w:t>Therefore, the mobility restriction function in the UE and the mobility restriction function in the NW are specified in different stage3 specifications, and the stage2 specification they refer to do not specify any restrictions on whether the forbidden area can be 2octet EPS TAC. Therefore, basically, RAN3 can support this enhancement without affecting the CN specifications.</w:t>
      </w:r>
    </w:p>
    <w:p w14:paraId="3692A770" w14:textId="7D1C322C" w:rsidR="00750E63" w:rsidRDefault="00750E63" w:rsidP="00750E63">
      <w:pPr>
        <w:pStyle w:val="ProposalandObservation"/>
      </w:pPr>
      <w:r>
        <w:rPr>
          <w:rFonts w:hint="eastAsia"/>
        </w:rPr>
        <w:t>Observation 1</w:t>
      </w:r>
      <w:r w:rsidRPr="00AB5A81">
        <w:t>:</w:t>
      </w:r>
      <w:r>
        <w:tab/>
      </w:r>
      <w:r w:rsidRPr="00750E63">
        <w:t xml:space="preserve">Mobility Restriction via NAS message is different functionality from that via NGAP because UE which receives NAS message can register both 5GC and EPC and receive mobility restriction from both, but </w:t>
      </w:r>
      <w:proofErr w:type="spellStart"/>
      <w:r w:rsidRPr="00750E63">
        <w:t>gNB</w:t>
      </w:r>
      <w:proofErr w:type="spellEnd"/>
      <w:r w:rsidRPr="00750E63">
        <w:t xml:space="preserve"> cannot receive it from EPC.</w:t>
      </w:r>
    </w:p>
    <w:p w14:paraId="2CF95032" w14:textId="350F300A" w:rsidR="00750E63" w:rsidRDefault="00750E63" w:rsidP="00750E63">
      <w:pPr>
        <w:pStyle w:val="ProposalandObservation"/>
      </w:pPr>
      <w:r>
        <w:rPr>
          <w:rFonts w:hint="eastAsia"/>
        </w:rPr>
        <w:t>Observation 2</w:t>
      </w:r>
      <w:r w:rsidRPr="00AB5A81">
        <w:t>:</w:t>
      </w:r>
      <w:r>
        <w:tab/>
      </w:r>
      <w:r w:rsidRPr="00750E63">
        <w:t>There is no restriction for configuring EPS TAC as a forbidden area in TS 23.501 which NGAP specification refers to.</w:t>
      </w:r>
    </w:p>
    <w:p w14:paraId="0197C6B3" w14:textId="77777777" w:rsidR="00750E63" w:rsidRDefault="00750E63" w:rsidP="00AB4B1D"/>
    <w:p w14:paraId="5D19E57C" w14:textId="131F97DD" w:rsidR="0087082E" w:rsidRPr="0087082E" w:rsidRDefault="00750E63" w:rsidP="00AB4B1D">
      <w:r w:rsidRPr="00750E63">
        <w:t>On the other hand, there is ambiguity as to whether AMF can obtain subscription information for a particular UE from UDM and obtain mobility restrictions with EPS TACs.</w:t>
      </w:r>
      <w:r w:rsidR="005A64F9" w:rsidRPr="005A64F9">
        <w:t xml:space="preserve"> In TS 29.503 sec. 6.1.6.2.4, which specifies the </w:t>
      </w:r>
      <w:proofErr w:type="spellStart"/>
      <w:r w:rsidR="005A64F9" w:rsidRPr="005A64F9">
        <w:rPr>
          <w:i/>
          <w:iCs/>
        </w:rPr>
        <w:t>forbiddenAreas</w:t>
      </w:r>
      <w:proofErr w:type="spellEnd"/>
      <w:r w:rsidR="005A64F9" w:rsidRPr="005A64F9">
        <w:t xml:space="preserve"> exchanged </w:t>
      </w:r>
      <w:r w:rsidR="005A64F9">
        <w:rPr>
          <w:rFonts w:hint="eastAsia"/>
        </w:rPr>
        <w:t>via</w:t>
      </w:r>
      <w:r w:rsidR="005A64F9" w:rsidRPr="005A64F9">
        <w:t xml:space="preserve"> SBI in 5GC, describes this IE as "List of forbidden areas in 5GS," and the </w:t>
      </w:r>
      <w:r w:rsidR="005A64F9" w:rsidRPr="005A64F9">
        <w:rPr>
          <w:i/>
          <w:iCs/>
        </w:rPr>
        <w:t>array(Area)</w:t>
      </w:r>
      <w:r w:rsidR="005A64F9" w:rsidRPr="005A64F9">
        <w:t xml:space="preserve"> referred to by this IE is defined as 2 or 3 octets in TS 29.571 sec. 5.4.2. Our understanding is that NR TAC is defined as 3 octets in TS 23.003, so it can be implied as EPS TAC when </w:t>
      </w:r>
      <w:proofErr w:type="spellStart"/>
      <w:r w:rsidR="005A64F9" w:rsidRPr="005A64F9">
        <w:rPr>
          <w:i/>
          <w:iCs/>
        </w:rPr>
        <w:t>forbiddenAreas</w:t>
      </w:r>
      <w:proofErr w:type="spellEnd"/>
      <w:r w:rsidR="005A64F9" w:rsidRPr="005A64F9">
        <w:t xml:space="preserve"> is 2 octets and NR TAC when it is 3 octets. On the other hand, these specifications do not explicitly specify that EPS TAC can be configured for </w:t>
      </w:r>
      <w:proofErr w:type="spellStart"/>
      <w:r w:rsidR="005A64F9" w:rsidRPr="005A64F9">
        <w:rPr>
          <w:i/>
          <w:iCs/>
        </w:rPr>
        <w:t>forbiddenAreas</w:t>
      </w:r>
      <w:proofErr w:type="spellEnd"/>
      <w:r w:rsidR="005A64F9" w:rsidRPr="005A64F9">
        <w:t xml:space="preserve">. If RAN3 companies have concerns about this ambiguity, we can send LS to SA2 and request clarification on the definition of </w:t>
      </w:r>
      <w:proofErr w:type="spellStart"/>
      <w:r w:rsidR="005A64F9" w:rsidRPr="005A64F9">
        <w:rPr>
          <w:i/>
          <w:iCs/>
        </w:rPr>
        <w:t>forbiddenAreas</w:t>
      </w:r>
      <w:proofErr w:type="spellEnd"/>
      <w:r w:rsidR="005A64F9" w:rsidRPr="005A64F9">
        <w:t>.</w:t>
      </w:r>
    </w:p>
    <w:p w14:paraId="4EE83DC0" w14:textId="1F8663EA" w:rsidR="007D6D7B" w:rsidRDefault="007D6D7B" w:rsidP="007D6D7B">
      <w:pPr>
        <w:pStyle w:val="ProposalandObservation"/>
      </w:pPr>
      <w:r w:rsidRPr="00AB5A81">
        <w:lastRenderedPageBreak/>
        <w:t>Proposal</w:t>
      </w:r>
      <w:r w:rsidR="00750E63">
        <w:rPr>
          <w:rFonts w:hint="eastAsia"/>
        </w:rPr>
        <w:t xml:space="preserve"> 2</w:t>
      </w:r>
      <w:r w:rsidRPr="00AB5A81">
        <w:t>:</w:t>
      </w:r>
      <w:r>
        <w:tab/>
      </w:r>
      <w:r w:rsidR="00750E63" w:rsidRPr="00750E63">
        <w:t xml:space="preserve">Send LS to SA2 to </w:t>
      </w:r>
      <w:r w:rsidR="00787693">
        <w:rPr>
          <w:rFonts w:hint="eastAsia"/>
        </w:rPr>
        <w:t>check</w:t>
      </w:r>
      <w:r w:rsidR="00750E63" w:rsidRPr="00750E63">
        <w:t xml:space="preserve"> the understanding on mobility restriction functionality.</w:t>
      </w:r>
    </w:p>
    <w:p w14:paraId="3FAD69EA" w14:textId="77777777" w:rsidR="00750E63" w:rsidRDefault="00750E63" w:rsidP="007D6D7B">
      <w:pPr>
        <w:pStyle w:val="ProposalandObservation"/>
        <w:ind w:left="1489" w:hanging="1489"/>
        <w:rPr>
          <w:b w:val="0"/>
          <w:bCs w:val="0"/>
        </w:rPr>
      </w:pPr>
    </w:p>
    <w:p w14:paraId="4B11051A" w14:textId="331B76E8" w:rsidR="00B13187" w:rsidRPr="00B13187" w:rsidRDefault="00B13187" w:rsidP="007D6D7B">
      <w:pPr>
        <w:pStyle w:val="ProposalandObservation"/>
        <w:ind w:left="1489" w:hanging="1489"/>
        <w:rPr>
          <w:b w:val="0"/>
          <w:bCs w:val="0"/>
        </w:rPr>
      </w:pPr>
      <w:r w:rsidRPr="00B13187">
        <w:rPr>
          <w:rFonts w:hint="eastAsia"/>
          <w:b w:val="0"/>
          <w:bCs w:val="0"/>
        </w:rPr>
        <w:t>After</w:t>
      </w:r>
      <w:r>
        <w:rPr>
          <w:rFonts w:hint="eastAsia"/>
          <w:b w:val="0"/>
          <w:bCs w:val="0"/>
        </w:rPr>
        <w:t xml:space="preserve"> receiving feedback from SA2, RAN3 can specify this enhancement in NGAP specification.</w:t>
      </w:r>
    </w:p>
    <w:p w14:paraId="4D40BF58" w14:textId="6D875F89" w:rsidR="00E250A8" w:rsidRPr="008D2440" w:rsidRDefault="00FD4706">
      <w:pPr>
        <w:pStyle w:val="1"/>
      </w:pPr>
      <w:r w:rsidRPr="008D2440">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40B6011B" w14:textId="1450AE00" w:rsidR="00BC7A1E" w:rsidRDefault="00BC7A1E" w:rsidP="005A64F9">
      <w:pPr>
        <w:pStyle w:val="ProposalandObservation"/>
      </w:pPr>
      <w:r w:rsidRPr="00AB5A81">
        <w:t>Proposal</w:t>
      </w:r>
      <w:r>
        <w:rPr>
          <w:rFonts w:hint="eastAsia"/>
        </w:rPr>
        <w:t xml:space="preserve"> 1</w:t>
      </w:r>
      <w:r w:rsidRPr="00AB5A81">
        <w:t>:</w:t>
      </w:r>
      <w:r>
        <w:tab/>
      </w:r>
      <w:r w:rsidRPr="00750E63">
        <w:t>RAN3 to discuss enhancement of mobility restriction for EPS TAC on NGAP.</w:t>
      </w:r>
    </w:p>
    <w:p w14:paraId="07390255" w14:textId="77777777" w:rsidR="00BC7A1E" w:rsidRDefault="00BC7A1E" w:rsidP="00BC7A1E">
      <w:pPr>
        <w:pStyle w:val="ProposalandObservation"/>
      </w:pPr>
      <w:r>
        <w:rPr>
          <w:rFonts w:hint="eastAsia"/>
        </w:rPr>
        <w:t>Observation 1</w:t>
      </w:r>
      <w:r w:rsidRPr="00AB5A81">
        <w:t>:</w:t>
      </w:r>
      <w:r>
        <w:tab/>
      </w:r>
      <w:r w:rsidRPr="00750E63">
        <w:t xml:space="preserve">Mobility Restriction via NAS message is different functionality from that via NGAP because UE which receives NAS message can register both 5GC and EPC and receive mobility restriction from both, but </w:t>
      </w:r>
      <w:proofErr w:type="spellStart"/>
      <w:r w:rsidRPr="00750E63">
        <w:t>gNB</w:t>
      </w:r>
      <w:proofErr w:type="spellEnd"/>
      <w:r w:rsidRPr="00750E63">
        <w:t xml:space="preserve"> cannot receive it from EPC.</w:t>
      </w:r>
    </w:p>
    <w:p w14:paraId="311B3B37" w14:textId="77777777" w:rsidR="00BC7A1E" w:rsidRDefault="00BC7A1E" w:rsidP="00BC7A1E">
      <w:pPr>
        <w:pStyle w:val="ProposalandObservation"/>
      </w:pPr>
      <w:r>
        <w:rPr>
          <w:rFonts w:hint="eastAsia"/>
        </w:rPr>
        <w:t>Observation 2</w:t>
      </w:r>
      <w:r w:rsidRPr="00AB5A81">
        <w:t>:</w:t>
      </w:r>
      <w:r>
        <w:tab/>
      </w:r>
      <w:r w:rsidRPr="00750E63">
        <w:t>There is no restriction for configuring EPS TAC as a forbidden area in TS 23.501 which NGAP specification refers to.</w:t>
      </w:r>
    </w:p>
    <w:p w14:paraId="3029343E" w14:textId="351301D9" w:rsidR="00BC7A1E" w:rsidRDefault="00BC7A1E" w:rsidP="00BC7A1E">
      <w:pPr>
        <w:pStyle w:val="ProposalandObservation"/>
      </w:pPr>
      <w:r w:rsidRPr="00AB5A81">
        <w:t>Proposal</w:t>
      </w:r>
      <w:r>
        <w:rPr>
          <w:rFonts w:hint="eastAsia"/>
        </w:rPr>
        <w:t xml:space="preserve"> 2</w:t>
      </w:r>
      <w:r w:rsidRPr="00AB5A81">
        <w:t>:</w:t>
      </w:r>
      <w:r>
        <w:tab/>
      </w:r>
      <w:r w:rsidRPr="00750E63">
        <w:t>Send LS to SA2 to c</w:t>
      </w:r>
      <w:r w:rsidR="00787693">
        <w:rPr>
          <w:rFonts w:hint="eastAsia"/>
        </w:rPr>
        <w:t>heck</w:t>
      </w:r>
      <w:r w:rsidRPr="00750E63">
        <w:t xml:space="preserve"> the understanding on mobility restriction functionality.</w:t>
      </w:r>
    </w:p>
    <w:p w14:paraId="6EAFA557" w14:textId="73E3374B" w:rsidR="00EE6403" w:rsidRPr="008D2440" w:rsidRDefault="00EE6403" w:rsidP="00EE6403">
      <w:pPr>
        <w:pStyle w:val="1"/>
      </w:pPr>
      <w:r>
        <w:rPr>
          <w:rFonts w:hint="eastAsia"/>
        </w:rPr>
        <w:t>Reference</w:t>
      </w:r>
    </w:p>
    <w:p w14:paraId="6366F3C3" w14:textId="53613C73" w:rsidR="00EE6403" w:rsidRDefault="00EE6403" w:rsidP="00EE6403">
      <w:r>
        <w:rPr>
          <w:rFonts w:hint="eastAsia"/>
        </w:rPr>
        <w:t>[1]</w:t>
      </w:r>
      <w:r>
        <w:tab/>
      </w:r>
      <w:r w:rsidRPr="00EE6403">
        <w:t>R3-250203</w:t>
      </w:r>
      <w:r>
        <w:rPr>
          <w:rFonts w:hint="eastAsia"/>
        </w:rPr>
        <w:t xml:space="preserve">, </w:t>
      </w:r>
      <w:r>
        <w:t>“</w:t>
      </w:r>
      <w:r w:rsidRPr="00EE6403">
        <w:t>NR to LTE mobility restriction</w:t>
      </w:r>
      <w:r>
        <w:t>”</w:t>
      </w:r>
      <w:r>
        <w:rPr>
          <w:rFonts w:hint="eastAsia"/>
        </w:rPr>
        <w:t>, NTT Docomo</w:t>
      </w:r>
    </w:p>
    <w:p w14:paraId="185E8C03" w14:textId="7979BD98" w:rsidR="00EE6403" w:rsidRPr="00EE6403" w:rsidRDefault="00EE6403" w:rsidP="00EE6403">
      <w:r>
        <w:rPr>
          <w:rFonts w:hint="eastAsia"/>
        </w:rPr>
        <w:t>[2]</w:t>
      </w:r>
      <w:r>
        <w:tab/>
      </w:r>
      <w:r w:rsidR="00F545D8" w:rsidRPr="00F545D8">
        <w:t>R3-252145</w:t>
      </w:r>
      <w:r>
        <w:rPr>
          <w:rFonts w:hint="eastAsia"/>
        </w:rPr>
        <w:t xml:space="preserve">, </w:t>
      </w:r>
      <w:r>
        <w:t>“</w:t>
      </w:r>
      <w:r w:rsidR="0009139D" w:rsidRPr="0009139D">
        <w:t>Enhancement of NR to LTE mobility restriction [Enhanced Mobility]</w:t>
      </w:r>
      <w:r>
        <w:t>”</w:t>
      </w:r>
      <w:r>
        <w:rPr>
          <w:rFonts w:hint="eastAsia"/>
        </w:rPr>
        <w:t xml:space="preserve"> (CR to TS 38.413), NTT Docomo</w:t>
      </w:r>
    </w:p>
    <w:p w14:paraId="05173056" w14:textId="015A7DA0" w:rsidR="00EE6403" w:rsidRDefault="00EE6403">
      <w:pPr>
        <w:spacing w:after="0"/>
      </w:pPr>
      <w:r>
        <w:br w:type="page"/>
      </w:r>
    </w:p>
    <w:p w14:paraId="6F79645E" w14:textId="6B754C27" w:rsidR="005A64F9" w:rsidRDefault="005A64F9" w:rsidP="005A64F9">
      <w:pPr>
        <w:pStyle w:val="1"/>
      </w:pPr>
      <w:r>
        <w:rPr>
          <w:rFonts w:hint="eastAsia"/>
        </w:rPr>
        <w:lastRenderedPageBreak/>
        <w:t xml:space="preserve">Annex: </w:t>
      </w:r>
      <w:r w:rsidRPr="0085569E">
        <w:rPr>
          <w:rFonts w:hint="eastAsia"/>
        </w:rPr>
        <w:t>LS to SA2</w:t>
      </w:r>
      <w:r w:rsidR="00983F3F" w:rsidRPr="0085569E">
        <w:rPr>
          <w:rFonts w:hint="eastAsia"/>
        </w:rPr>
        <w:t>, CC to CT4</w:t>
      </w:r>
    </w:p>
    <w:p w14:paraId="3BEFB750" w14:textId="7E4AA5E6" w:rsidR="005A64F9" w:rsidRPr="00981EFF" w:rsidRDefault="005A64F9" w:rsidP="005A64F9">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Pr>
          <w:rFonts w:ascii="Arial" w:hAnsi="Arial" w:cs="Arial" w:hint="eastAsia"/>
          <w:bCs/>
          <w:color w:val="000000"/>
          <w:sz w:val="22"/>
          <w:szCs w:val="22"/>
        </w:rPr>
        <w:t>7</w:t>
      </w:r>
      <w:r w:rsidR="00CA2AD5">
        <w:rPr>
          <w:rFonts w:ascii="Arial" w:hAnsi="Arial" w:cs="Arial" w:hint="eastAsia"/>
          <w:bCs/>
          <w:color w:val="000000"/>
          <w:sz w:val="22"/>
          <w:szCs w:val="22"/>
        </w:rPr>
        <w:t>bis</w:t>
      </w:r>
      <w:r w:rsidRPr="00981EFF">
        <w:rPr>
          <w:rFonts w:ascii="Arial" w:hAnsi="Arial" w:cs="Arial"/>
          <w:bCs/>
          <w:color w:val="000000"/>
          <w:sz w:val="22"/>
          <w:szCs w:val="22"/>
        </w:rPr>
        <w:tab/>
      </w:r>
      <w:r w:rsidRPr="0009139D">
        <w:rPr>
          <w:sz w:val="28"/>
          <w:szCs w:val="28"/>
        </w:rPr>
        <w:t>R3-2</w:t>
      </w:r>
      <w:r w:rsidR="00983F3F" w:rsidRPr="0009139D">
        <w:rPr>
          <w:rFonts w:hint="eastAsia"/>
          <w:sz w:val="28"/>
          <w:szCs w:val="28"/>
        </w:rPr>
        <w:t>5</w:t>
      </w:r>
      <w:r w:rsidRPr="0009139D">
        <w:rPr>
          <w:rFonts w:hint="eastAsia"/>
          <w:sz w:val="28"/>
          <w:szCs w:val="28"/>
        </w:rPr>
        <w:t>xxxx</w:t>
      </w:r>
    </w:p>
    <w:p w14:paraId="76585472" w14:textId="3E56819B" w:rsidR="005A64F9" w:rsidRPr="00981EFF" w:rsidRDefault="00CA2AD5" w:rsidP="005A64F9">
      <w:pPr>
        <w:pStyle w:val="3GPPHeader"/>
        <w:rPr>
          <w:rFonts w:ascii="Arial" w:hAnsi="Arial" w:cs="Arial"/>
          <w:bCs/>
          <w:color w:val="000000"/>
          <w:sz w:val="22"/>
          <w:szCs w:val="22"/>
        </w:rPr>
      </w:pPr>
      <w:r>
        <w:rPr>
          <w:rFonts w:ascii="Arial" w:hAnsi="Arial" w:cs="Arial" w:hint="eastAsia"/>
          <w:bCs/>
          <w:color w:val="000000"/>
          <w:sz w:val="22"/>
          <w:szCs w:val="22"/>
        </w:rPr>
        <w:t>Wuhan</w:t>
      </w:r>
      <w:r w:rsidR="005A64F9">
        <w:rPr>
          <w:rFonts w:ascii="Arial" w:hAnsi="Arial" w:cs="Arial" w:hint="eastAsia"/>
          <w:bCs/>
          <w:color w:val="000000"/>
          <w:sz w:val="22"/>
          <w:szCs w:val="22"/>
        </w:rPr>
        <w:t xml:space="preserve">, </w:t>
      </w:r>
      <w:r>
        <w:rPr>
          <w:rFonts w:ascii="Arial" w:hAnsi="Arial" w:cs="Arial" w:hint="eastAsia"/>
          <w:bCs/>
          <w:color w:val="000000"/>
          <w:sz w:val="22"/>
          <w:szCs w:val="22"/>
        </w:rPr>
        <w:t>CN</w:t>
      </w:r>
      <w:r w:rsidR="005A64F9" w:rsidRPr="00981EFF">
        <w:rPr>
          <w:rFonts w:ascii="Arial" w:hAnsi="Arial" w:cs="Arial"/>
          <w:bCs/>
          <w:color w:val="000000"/>
          <w:sz w:val="22"/>
          <w:szCs w:val="22"/>
        </w:rPr>
        <w:t xml:space="preserve">, </w:t>
      </w:r>
      <w:r w:rsidR="005A64F9">
        <w:rPr>
          <w:rFonts w:ascii="Arial" w:hAnsi="Arial" w:cs="Arial" w:hint="eastAsia"/>
          <w:bCs/>
          <w:color w:val="000000"/>
          <w:sz w:val="22"/>
          <w:szCs w:val="22"/>
        </w:rPr>
        <w:t>7</w:t>
      </w:r>
      <w:r w:rsidR="005A64F9">
        <w:rPr>
          <w:rFonts w:ascii="Arial" w:hAnsi="Arial" w:cs="Arial"/>
          <w:bCs/>
          <w:color w:val="000000"/>
          <w:sz w:val="22"/>
          <w:szCs w:val="22"/>
        </w:rPr>
        <w:t xml:space="preserve"> – </w:t>
      </w:r>
      <w:r>
        <w:rPr>
          <w:rFonts w:ascii="Arial" w:hAnsi="Arial" w:cs="Arial" w:hint="eastAsia"/>
          <w:bCs/>
          <w:color w:val="000000"/>
          <w:sz w:val="22"/>
          <w:szCs w:val="22"/>
        </w:rPr>
        <w:t>1</w:t>
      </w:r>
      <w:r w:rsidR="005A64F9">
        <w:rPr>
          <w:rFonts w:ascii="Arial" w:hAnsi="Arial" w:cs="Arial" w:hint="eastAsia"/>
          <w:bCs/>
          <w:color w:val="000000"/>
          <w:sz w:val="22"/>
          <w:szCs w:val="22"/>
        </w:rPr>
        <w:t>1</w:t>
      </w:r>
      <w:r w:rsidR="005A64F9">
        <w:rPr>
          <w:rFonts w:ascii="Arial" w:hAnsi="Arial" w:cs="Arial"/>
          <w:bCs/>
          <w:color w:val="000000"/>
          <w:sz w:val="22"/>
          <w:szCs w:val="22"/>
        </w:rPr>
        <w:t xml:space="preserve"> </w:t>
      </w:r>
      <w:r>
        <w:rPr>
          <w:rFonts w:ascii="Arial" w:hAnsi="Arial" w:cs="Arial" w:hint="eastAsia"/>
          <w:bCs/>
          <w:color w:val="000000"/>
          <w:sz w:val="22"/>
          <w:szCs w:val="22"/>
        </w:rPr>
        <w:t>Apr</w:t>
      </w:r>
      <w:r w:rsidR="005A64F9">
        <w:rPr>
          <w:rFonts w:ascii="Arial" w:hAnsi="Arial" w:cs="Arial" w:hint="eastAsia"/>
          <w:bCs/>
          <w:color w:val="000000"/>
          <w:sz w:val="22"/>
          <w:szCs w:val="22"/>
        </w:rPr>
        <w:t>.</w:t>
      </w:r>
      <w:r w:rsidR="005A64F9" w:rsidRPr="00981EFF">
        <w:rPr>
          <w:rFonts w:ascii="Arial" w:hAnsi="Arial" w:cs="Arial"/>
          <w:bCs/>
          <w:color w:val="000000"/>
          <w:sz w:val="22"/>
          <w:szCs w:val="22"/>
        </w:rPr>
        <w:t xml:space="preserve"> 202</w:t>
      </w:r>
      <w:r w:rsidR="005A64F9">
        <w:rPr>
          <w:rFonts w:ascii="Arial" w:hAnsi="Arial" w:cs="Arial" w:hint="eastAsia"/>
          <w:bCs/>
          <w:color w:val="000000"/>
          <w:sz w:val="22"/>
          <w:szCs w:val="22"/>
        </w:rPr>
        <w:t>5</w:t>
      </w:r>
    </w:p>
    <w:p w14:paraId="35AC9832" w14:textId="77777777" w:rsidR="005A64F9" w:rsidRPr="000F687B" w:rsidRDefault="005A64F9" w:rsidP="005A64F9">
      <w:pPr>
        <w:spacing w:after="60"/>
        <w:ind w:left="1985" w:hanging="1985"/>
        <w:rPr>
          <w:rFonts w:ascii="Arial" w:eastAsiaTheme="minorEastAsia" w:hAnsi="Arial" w:cs="Arial"/>
          <w:b/>
          <w:szCs w:val="22"/>
          <w:lang w:eastAsia="en-US"/>
        </w:rPr>
      </w:pPr>
      <w:r w:rsidRPr="000F687B">
        <w:rPr>
          <w:rFonts w:ascii="Arial" w:eastAsiaTheme="minorEastAsia" w:hAnsi="Arial" w:cs="Arial"/>
          <w:b/>
          <w:szCs w:val="22"/>
          <w:lang w:eastAsia="en-US"/>
        </w:rPr>
        <w:t>Title:</w:t>
      </w:r>
      <w:r w:rsidRPr="000F687B">
        <w:rPr>
          <w:rFonts w:ascii="Arial" w:eastAsiaTheme="minorEastAsia" w:hAnsi="Arial" w:cs="Arial"/>
          <w:b/>
          <w:szCs w:val="22"/>
          <w:lang w:eastAsia="en-US"/>
        </w:rPr>
        <w:tab/>
      </w:r>
      <w:r w:rsidRPr="00AF3D07">
        <w:rPr>
          <w:rFonts w:ascii="Arial" w:eastAsiaTheme="minorEastAsia" w:hAnsi="Arial" w:cs="Arial"/>
          <w:b/>
          <w:szCs w:val="22"/>
        </w:rPr>
        <w:t>[Draft] LS on NR to LTE mobility restriction</w:t>
      </w:r>
    </w:p>
    <w:p w14:paraId="39577687" w14:textId="77777777" w:rsidR="005A64F9" w:rsidRPr="000F687B" w:rsidRDefault="005A64F9" w:rsidP="005A64F9">
      <w:pPr>
        <w:spacing w:after="60"/>
        <w:ind w:left="1985" w:hanging="1985"/>
        <w:rPr>
          <w:rFonts w:ascii="Arial" w:eastAsiaTheme="minorEastAsia" w:hAnsi="Arial" w:cs="Arial"/>
          <w:b/>
          <w:bCs/>
          <w:noProof/>
          <w:szCs w:val="22"/>
        </w:rPr>
      </w:pPr>
      <w:r w:rsidRPr="000F687B">
        <w:rPr>
          <w:rFonts w:ascii="Arial" w:eastAsiaTheme="minorEastAsia" w:hAnsi="Arial" w:cs="Arial"/>
          <w:b/>
          <w:szCs w:val="22"/>
          <w:lang w:eastAsia="en-US"/>
        </w:rPr>
        <w:t>Response to:</w:t>
      </w:r>
      <w:r w:rsidRPr="000F687B">
        <w:rPr>
          <w:rFonts w:ascii="Arial" w:eastAsiaTheme="minorEastAsia" w:hAnsi="Arial" w:cs="Arial"/>
          <w:b/>
          <w:szCs w:val="22"/>
          <w:lang w:eastAsia="en-US"/>
        </w:rPr>
        <w:tab/>
      </w:r>
      <w:r>
        <w:rPr>
          <w:rFonts w:ascii="Arial" w:eastAsiaTheme="minorEastAsia" w:hAnsi="Arial" w:cs="Arial" w:hint="eastAsia"/>
          <w:b/>
          <w:bCs/>
          <w:noProof/>
          <w:szCs w:val="22"/>
        </w:rPr>
        <w:t>-</w:t>
      </w:r>
    </w:p>
    <w:p w14:paraId="6B6AF401" w14:textId="77777777" w:rsidR="005A64F9" w:rsidRPr="000F687B" w:rsidRDefault="005A64F9" w:rsidP="005A64F9">
      <w:pPr>
        <w:spacing w:after="60"/>
        <w:ind w:left="1985" w:hanging="1985"/>
        <w:rPr>
          <w:rFonts w:ascii="Arial" w:eastAsiaTheme="minorEastAsia" w:hAnsi="Arial" w:cs="Arial"/>
          <w:b/>
          <w:bCs/>
          <w:noProof/>
          <w:szCs w:val="22"/>
        </w:rPr>
      </w:pPr>
      <w:r w:rsidRPr="000F687B">
        <w:rPr>
          <w:rFonts w:ascii="Arial" w:eastAsiaTheme="minorEastAsia" w:hAnsi="Arial" w:cs="Arial"/>
          <w:b/>
          <w:szCs w:val="22"/>
          <w:lang w:eastAsia="en-US"/>
        </w:rPr>
        <w:t>Release:</w:t>
      </w:r>
      <w:r w:rsidRPr="000F687B">
        <w:rPr>
          <w:rFonts w:ascii="Arial" w:eastAsiaTheme="minorEastAsia" w:hAnsi="Arial" w:cs="Arial"/>
          <w:b/>
          <w:szCs w:val="22"/>
          <w:lang w:eastAsia="en-US"/>
        </w:rPr>
        <w:tab/>
      </w:r>
      <w:r w:rsidRPr="000F687B">
        <w:rPr>
          <w:rFonts w:ascii="Arial" w:eastAsiaTheme="minorEastAsia" w:hAnsi="Arial" w:cs="Arial"/>
          <w:b/>
          <w:bCs/>
          <w:noProof/>
          <w:szCs w:val="22"/>
          <w:lang w:eastAsia="en-US"/>
        </w:rPr>
        <w:t>Rel-1</w:t>
      </w:r>
      <w:r>
        <w:rPr>
          <w:rFonts w:ascii="Arial" w:eastAsiaTheme="minorEastAsia" w:hAnsi="Arial" w:cs="Arial" w:hint="eastAsia"/>
          <w:b/>
          <w:bCs/>
          <w:noProof/>
          <w:szCs w:val="22"/>
        </w:rPr>
        <w:t>9</w:t>
      </w:r>
    </w:p>
    <w:p w14:paraId="011FB7D6" w14:textId="77777777" w:rsidR="005A64F9" w:rsidRPr="000F687B" w:rsidRDefault="005A64F9" w:rsidP="005A64F9">
      <w:pPr>
        <w:spacing w:after="60"/>
        <w:ind w:left="1985" w:hanging="1985"/>
        <w:rPr>
          <w:rFonts w:ascii="Arial" w:eastAsiaTheme="minorEastAsia" w:hAnsi="Arial" w:cs="Arial"/>
          <w:b/>
          <w:bCs/>
          <w:noProof/>
          <w:szCs w:val="22"/>
        </w:rPr>
      </w:pPr>
      <w:r w:rsidRPr="000F687B">
        <w:rPr>
          <w:rFonts w:ascii="Arial" w:eastAsiaTheme="minorEastAsia" w:hAnsi="Arial" w:cs="Arial"/>
          <w:b/>
          <w:szCs w:val="22"/>
          <w:lang w:eastAsia="en-US"/>
        </w:rPr>
        <w:t>Work Item:</w:t>
      </w:r>
      <w:r w:rsidRPr="000F687B">
        <w:rPr>
          <w:rFonts w:ascii="Arial" w:eastAsiaTheme="minorEastAsia" w:hAnsi="Arial" w:cs="Arial"/>
          <w:b/>
          <w:szCs w:val="22"/>
          <w:lang w:eastAsia="en-US"/>
        </w:rPr>
        <w:tab/>
      </w:r>
      <w:proofErr w:type="spellStart"/>
      <w:r w:rsidRPr="00A937AE">
        <w:rPr>
          <w:rFonts w:ascii="Arial" w:eastAsiaTheme="minorEastAsia" w:hAnsi="Arial" w:cs="Arial"/>
          <w:b/>
          <w:szCs w:val="22"/>
          <w:lang w:eastAsia="en-US"/>
        </w:rPr>
        <w:t>NR_newRAT</w:t>
      </w:r>
      <w:proofErr w:type="spellEnd"/>
      <w:r w:rsidRPr="00A937AE">
        <w:rPr>
          <w:rFonts w:ascii="Arial" w:eastAsiaTheme="minorEastAsia" w:hAnsi="Arial" w:cs="Arial"/>
          <w:b/>
          <w:szCs w:val="22"/>
          <w:lang w:eastAsia="en-US"/>
        </w:rPr>
        <w:t>-Core</w:t>
      </w:r>
    </w:p>
    <w:p w14:paraId="38DC4EC1" w14:textId="77777777" w:rsidR="005A64F9" w:rsidRPr="000F687B" w:rsidRDefault="005A64F9" w:rsidP="005A64F9">
      <w:pPr>
        <w:spacing w:after="60"/>
        <w:rPr>
          <w:rFonts w:ascii="Arial" w:eastAsiaTheme="minorEastAsia" w:hAnsi="Arial" w:cs="Arial"/>
          <w:b/>
          <w:szCs w:val="22"/>
        </w:rPr>
      </w:pPr>
    </w:p>
    <w:p w14:paraId="76C61CED" w14:textId="77777777" w:rsidR="005A64F9" w:rsidRPr="000F687B" w:rsidRDefault="005A64F9" w:rsidP="005A64F9">
      <w:pPr>
        <w:spacing w:after="60"/>
        <w:ind w:left="1985" w:hanging="1985"/>
        <w:rPr>
          <w:rFonts w:ascii="Arial" w:eastAsiaTheme="minorEastAsia" w:hAnsi="Arial" w:cs="Arial"/>
          <w:b/>
          <w:szCs w:val="22"/>
        </w:rPr>
      </w:pPr>
      <w:r w:rsidRPr="000F687B">
        <w:rPr>
          <w:rFonts w:ascii="Arial" w:eastAsiaTheme="minorEastAsia" w:hAnsi="Arial" w:cs="Arial"/>
          <w:b/>
          <w:szCs w:val="22"/>
          <w:lang w:eastAsia="en-US"/>
        </w:rPr>
        <w:t>Source:</w:t>
      </w:r>
      <w:r w:rsidRPr="000F687B">
        <w:rPr>
          <w:rFonts w:ascii="Arial" w:eastAsiaTheme="minorEastAsia" w:hAnsi="Arial" w:cs="Arial"/>
          <w:b/>
          <w:szCs w:val="22"/>
          <w:lang w:eastAsia="en-US"/>
        </w:rPr>
        <w:tab/>
      </w:r>
      <w:r>
        <w:rPr>
          <w:rFonts w:ascii="Arial" w:eastAsiaTheme="minorEastAsia" w:hAnsi="Arial" w:cs="Arial" w:hint="eastAsia"/>
          <w:b/>
          <w:szCs w:val="22"/>
        </w:rPr>
        <w:t xml:space="preserve">NTT DOCOMO (to be </w:t>
      </w:r>
      <w:r w:rsidRPr="000F687B">
        <w:rPr>
          <w:rFonts w:ascii="Arial" w:eastAsiaTheme="minorEastAsia" w:hAnsi="Arial" w:cs="Arial"/>
          <w:b/>
          <w:szCs w:val="22"/>
          <w:lang w:eastAsia="en-US"/>
        </w:rPr>
        <w:t>RAN3</w:t>
      </w:r>
      <w:r>
        <w:rPr>
          <w:rFonts w:ascii="Arial" w:eastAsiaTheme="minorEastAsia" w:hAnsi="Arial" w:cs="Arial" w:hint="eastAsia"/>
          <w:b/>
          <w:szCs w:val="22"/>
        </w:rPr>
        <w:t>)</w:t>
      </w:r>
    </w:p>
    <w:p w14:paraId="29509B19" w14:textId="77777777" w:rsidR="005A64F9" w:rsidRPr="000F687B" w:rsidRDefault="005A64F9" w:rsidP="005A64F9">
      <w:pPr>
        <w:spacing w:after="60"/>
        <w:ind w:left="1985" w:hanging="1985"/>
        <w:rPr>
          <w:rFonts w:ascii="Arial" w:eastAsiaTheme="minorEastAsia" w:hAnsi="Arial" w:cs="Arial"/>
          <w:b/>
          <w:szCs w:val="22"/>
        </w:rPr>
      </w:pPr>
      <w:r w:rsidRPr="000F687B">
        <w:rPr>
          <w:rFonts w:ascii="Arial" w:eastAsiaTheme="minorEastAsia" w:hAnsi="Arial" w:cs="Arial"/>
          <w:b/>
          <w:szCs w:val="22"/>
          <w:lang w:eastAsia="en-US"/>
        </w:rPr>
        <w:t>To:</w:t>
      </w:r>
      <w:r w:rsidRPr="000F687B">
        <w:rPr>
          <w:rFonts w:ascii="Arial" w:eastAsiaTheme="minorEastAsia" w:hAnsi="Arial" w:cs="Arial"/>
          <w:b/>
          <w:szCs w:val="22"/>
          <w:lang w:eastAsia="en-US"/>
        </w:rPr>
        <w:tab/>
      </w:r>
      <w:r>
        <w:rPr>
          <w:rFonts w:ascii="Arial" w:eastAsiaTheme="minorEastAsia" w:hAnsi="Arial" w:cs="Arial" w:hint="eastAsia"/>
          <w:b/>
          <w:szCs w:val="22"/>
        </w:rPr>
        <w:t>SA2</w:t>
      </w:r>
    </w:p>
    <w:p w14:paraId="145AD03F" w14:textId="001A54A3" w:rsidR="005A64F9" w:rsidRPr="000F687B" w:rsidRDefault="005A64F9" w:rsidP="005A64F9">
      <w:pPr>
        <w:spacing w:after="60"/>
        <w:ind w:left="1985" w:hanging="1985"/>
        <w:rPr>
          <w:rFonts w:ascii="Arial" w:eastAsiaTheme="minorEastAsia" w:hAnsi="Arial" w:cs="Arial"/>
          <w:b/>
          <w:szCs w:val="22"/>
        </w:rPr>
      </w:pPr>
      <w:r w:rsidRPr="000F687B">
        <w:rPr>
          <w:rFonts w:ascii="Arial" w:eastAsiaTheme="minorEastAsia" w:hAnsi="Arial" w:cs="Arial"/>
          <w:b/>
          <w:szCs w:val="22"/>
          <w:lang w:eastAsia="en-US"/>
        </w:rPr>
        <w:t>Cc:</w:t>
      </w:r>
      <w:r w:rsidRPr="000F687B">
        <w:rPr>
          <w:rFonts w:ascii="Arial" w:eastAsiaTheme="minorEastAsia" w:hAnsi="Arial" w:cs="Arial"/>
          <w:b/>
          <w:szCs w:val="22"/>
          <w:lang w:eastAsia="en-US"/>
        </w:rPr>
        <w:tab/>
      </w:r>
      <w:r w:rsidR="00983F3F" w:rsidRPr="0085569E">
        <w:rPr>
          <w:rFonts w:ascii="Arial" w:eastAsiaTheme="minorEastAsia" w:hAnsi="Arial" w:cs="Arial" w:hint="eastAsia"/>
          <w:b/>
          <w:szCs w:val="22"/>
        </w:rPr>
        <w:t>CT4</w:t>
      </w:r>
    </w:p>
    <w:p w14:paraId="7AF3C345" w14:textId="77777777" w:rsidR="005A64F9" w:rsidRPr="000F687B" w:rsidRDefault="005A64F9" w:rsidP="005A64F9">
      <w:pPr>
        <w:spacing w:after="60"/>
        <w:ind w:left="1985" w:hanging="1985"/>
        <w:rPr>
          <w:rFonts w:ascii="Arial" w:eastAsiaTheme="minorEastAsia" w:hAnsi="Arial" w:cs="Arial"/>
          <w:b/>
          <w:szCs w:val="22"/>
          <w:lang w:eastAsia="en-US"/>
        </w:rPr>
      </w:pPr>
    </w:p>
    <w:p w14:paraId="74972BB8" w14:textId="77777777" w:rsidR="005A64F9" w:rsidRPr="000F687B" w:rsidRDefault="005A64F9" w:rsidP="005A64F9">
      <w:pPr>
        <w:spacing w:after="60"/>
        <w:ind w:left="1985" w:hanging="1985"/>
        <w:rPr>
          <w:rFonts w:ascii="Arial" w:eastAsiaTheme="minorEastAsia" w:hAnsi="Arial" w:cs="Arial"/>
          <w:b/>
          <w:szCs w:val="22"/>
        </w:rPr>
      </w:pPr>
      <w:r w:rsidRPr="000F687B">
        <w:rPr>
          <w:rFonts w:ascii="Arial" w:eastAsiaTheme="minorEastAsia" w:hAnsi="Arial" w:cs="Arial"/>
          <w:b/>
          <w:szCs w:val="22"/>
          <w:lang w:eastAsia="en-US"/>
        </w:rPr>
        <w:t xml:space="preserve">Contact Person: </w:t>
      </w:r>
      <w:r w:rsidRPr="000F687B">
        <w:rPr>
          <w:rFonts w:ascii="Arial" w:eastAsiaTheme="minorEastAsia" w:hAnsi="Arial" w:cs="Arial"/>
          <w:b/>
          <w:szCs w:val="22"/>
          <w:lang w:eastAsia="en-US"/>
        </w:rPr>
        <w:tab/>
      </w:r>
      <w:r>
        <w:rPr>
          <w:rFonts w:ascii="Arial" w:eastAsiaTheme="minorEastAsia" w:hAnsi="Arial" w:cs="Arial" w:hint="eastAsia"/>
          <w:b/>
          <w:szCs w:val="22"/>
        </w:rPr>
        <w:t>Mio Nakamura</w:t>
      </w:r>
    </w:p>
    <w:p w14:paraId="66752335" w14:textId="77777777" w:rsidR="005A64F9" w:rsidRPr="000F687B" w:rsidRDefault="005A64F9" w:rsidP="005A64F9">
      <w:pPr>
        <w:spacing w:after="60"/>
        <w:ind w:leftChars="164" w:left="361" w:firstLineChars="750" w:firstLine="1651"/>
        <w:rPr>
          <w:rFonts w:ascii="Arial" w:eastAsiaTheme="minorEastAsia" w:hAnsi="Arial" w:cs="Arial"/>
          <w:b/>
          <w:szCs w:val="22"/>
          <w:lang w:eastAsia="en-US"/>
        </w:rPr>
      </w:pPr>
      <w:r>
        <w:rPr>
          <w:rFonts w:ascii="Arial" w:eastAsiaTheme="minorEastAsia" w:hAnsi="Arial" w:cs="Arial" w:hint="eastAsia"/>
          <w:b/>
          <w:szCs w:val="22"/>
        </w:rPr>
        <w:t>mio.nakamura.ue</w:t>
      </w:r>
      <w:r w:rsidRPr="000F687B">
        <w:rPr>
          <w:rFonts w:ascii="Arial" w:eastAsiaTheme="minorEastAsia" w:hAnsi="Arial" w:cs="Arial"/>
          <w:b/>
          <w:szCs w:val="22"/>
          <w:lang w:eastAsia="en-US"/>
        </w:rPr>
        <w:t>@</w:t>
      </w:r>
      <w:r>
        <w:rPr>
          <w:rFonts w:ascii="Arial" w:eastAsiaTheme="minorEastAsia" w:hAnsi="Arial" w:cs="Arial" w:hint="eastAsia"/>
          <w:b/>
          <w:szCs w:val="22"/>
        </w:rPr>
        <w:t>nttdoomo</w:t>
      </w:r>
      <w:r w:rsidRPr="000F687B">
        <w:rPr>
          <w:rFonts w:ascii="Arial" w:eastAsiaTheme="minorEastAsia" w:hAnsi="Arial" w:cs="Arial"/>
          <w:b/>
          <w:szCs w:val="22"/>
          <w:lang w:eastAsia="en-US"/>
        </w:rPr>
        <w:t>.com</w:t>
      </w:r>
    </w:p>
    <w:p w14:paraId="36D4A1B7" w14:textId="77777777" w:rsidR="005A64F9" w:rsidRPr="000F687B" w:rsidRDefault="005A64F9" w:rsidP="005A64F9">
      <w:pPr>
        <w:spacing w:after="60"/>
        <w:rPr>
          <w:rFonts w:ascii="Arial" w:eastAsiaTheme="minorEastAsia" w:hAnsi="Arial" w:cs="Arial"/>
          <w:b/>
          <w:szCs w:val="22"/>
          <w:lang w:eastAsia="en-US"/>
        </w:rPr>
      </w:pPr>
    </w:p>
    <w:p w14:paraId="164CADD1" w14:textId="77777777" w:rsidR="005A64F9" w:rsidRPr="000F687B" w:rsidRDefault="005A64F9" w:rsidP="005A64F9">
      <w:pPr>
        <w:spacing w:after="60"/>
        <w:ind w:left="1985" w:hanging="1985"/>
        <w:rPr>
          <w:rFonts w:ascii="Arial" w:eastAsiaTheme="minorEastAsia" w:hAnsi="Arial" w:cs="Arial"/>
          <w:b/>
          <w:szCs w:val="22"/>
          <w:lang w:eastAsia="en-US"/>
        </w:rPr>
      </w:pPr>
      <w:r w:rsidRPr="000F687B">
        <w:rPr>
          <w:rFonts w:ascii="Arial" w:hAnsi="Arial" w:cs="Arial"/>
          <w:b/>
          <w:szCs w:val="22"/>
        </w:rPr>
        <w:t>Send any reply LS to:</w:t>
      </w:r>
      <w:r w:rsidRPr="000F687B">
        <w:rPr>
          <w:rFonts w:ascii="Arial" w:hAnsi="Arial" w:cs="Arial"/>
          <w:b/>
          <w:szCs w:val="22"/>
        </w:rPr>
        <w:tab/>
        <w:t xml:space="preserve">3GPP Liaisons Coordinator, </w:t>
      </w:r>
      <w:hyperlink r:id="rId13" w:history="1">
        <w:r w:rsidRPr="000F687B">
          <w:rPr>
            <w:rStyle w:val="af6"/>
            <w:rFonts w:ascii="Arial" w:hAnsi="Arial" w:cs="Arial"/>
            <w:b/>
            <w:szCs w:val="22"/>
          </w:rPr>
          <w:t>mailto:3GPPLiaison@etsi.org</w:t>
        </w:r>
      </w:hyperlink>
    </w:p>
    <w:p w14:paraId="16B4F795" w14:textId="77777777" w:rsidR="005A64F9" w:rsidRPr="000F687B" w:rsidRDefault="005A64F9" w:rsidP="005A64F9">
      <w:pPr>
        <w:spacing w:after="60"/>
        <w:ind w:left="1985" w:hanging="1985"/>
        <w:rPr>
          <w:rFonts w:ascii="Arial" w:eastAsiaTheme="minorEastAsia" w:hAnsi="Arial" w:cs="Arial"/>
          <w:b/>
          <w:szCs w:val="22"/>
          <w:lang w:eastAsia="en-US"/>
        </w:rPr>
      </w:pPr>
    </w:p>
    <w:p w14:paraId="378ABBA3" w14:textId="77777777" w:rsidR="005A64F9" w:rsidRPr="000F687B" w:rsidRDefault="005A64F9" w:rsidP="005A64F9">
      <w:pPr>
        <w:spacing w:after="60"/>
        <w:ind w:left="1985" w:hanging="1985"/>
        <w:rPr>
          <w:rFonts w:ascii="Arial" w:eastAsiaTheme="minorEastAsia" w:hAnsi="Arial" w:cs="Arial"/>
          <w:b/>
          <w:szCs w:val="22"/>
          <w:lang w:eastAsia="en-US"/>
        </w:rPr>
      </w:pPr>
      <w:r w:rsidRPr="000F687B">
        <w:rPr>
          <w:rFonts w:ascii="Arial" w:eastAsiaTheme="minorEastAsia" w:hAnsi="Arial" w:cs="Arial"/>
          <w:b/>
          <w:szCs w:val="22"/>
          <w:lang w:eastAsia="en-US"/>
        </w:rPr>
        <w:t>Attachments:</w:t>
      </w:r>
      <w:r w:rsidRPr="000F687B">
        <w:rPr>
          <w:rFonts w:ascii="Arial" w:eastAsiaTheme="minorEastAsia" w:hAnsi="Arial" w:cs="Arial"/>
          <w:b/>
          <w:szCs w:val="22"/>
          <w:lang w:eastAsia="en-US"/>
        </w:rPr>
        <w:tab/>
        <w:t>None</w:t>
      </w:r>
    </w:p>
    <w:p w14:paraId="604D3202" w14:textId="77777777" w:rsidR="005A64F9" w:rsidRPr="004B0C36" w:rsidRDefault="005A64F9" w:rsidP="005A64F9">
      <w:pPr>
        <w:pStyle w:val="20"/>
        <w:numPr>
          <w:ilvl w:val="0"/>
          <w:numId w:val="28"/>
        </w:numPr>
        <w:tabs>
          <w:tab w:val="num" w:pos="2160"/>
        </w:tabs>
        <w:ind w:left="567" w:hanging="567"/>
        <w:rPr>
          <w:rFonts w:eastAsiaTheme="minorEastAsia"/>
          <w:szCs w:val="20"/>
          <w:lang w:eastAsia="en-US"/>
        </w:rPr>
      </w:pPr>
      <w:r w:rsidRPr="004B0C36">
        <w:rPr>
          <w:rFonts w:eastAsiaTheme="minorEastAsia"/>
          <w:szCs w:val="20"/>
          <w:lang w:eastAsia="en-US"/>
        </w:rPr>
        <w:t>Overall Description:</w:t>
      </w:r>
    </w:p>
    <w:p w14:paraId="0C844FBF" w14:textId="2A5C338B" w:rsidR="005A64F9" w:rsidRPr="001F0F51" w:rsidRDefault="005A64F9" w:rsidP="005A64F9">
      <w:r w:rsidRPr="00656D98">
        <w:t xml:space="preserve">In the current NGAP specification, only NR TAC can be configured as a forbidden area for mobility restriction. RAN3 discussed enhancement on the mobility restriction function to enable configuring EPS TAC as a forbidden area. On the other hand, we could not conclude whether this enhancement affects the core network related specifications because there is </w:t>
      </w:r>
      <w:r w:rsidR="0085569E">
        <w:rPr>
          <w:rFonts w:hint="eastAsia"/>
        </w:rPr>
        <w:t>an</w:t>
      </w:r>
      <w:r w:rsidRPr="00656D98">
        <w:t xml:space="preserve"> ambiguity as to whether </w:t>
      </w:r>
      <w:proofErr w:type="spellStart"/>
      <w:r w:rsidRPr="0085569E">
        <w:rPr>
          <w:i/>
          <w:iCs/>
        </w:rPr>
        <w:t>forbiddenAreas</w:t>
      </w:r>
      <w:proofErr w:type="spellEnd"/>
      <w:r w:rsidRPr="00656D98">
        <w:t xml:space="preserve"> specified in 29.503 support specifying EPS TAC.</w:t>
      </w:r>
    </w:p>
    <w:p w14:paraId="4AF3FDC5" w14:textId="77777777" w:rsidR="005A64F9" w:rsidRPr="004B0C36" w:rsidRDefault="005A64F9" w:rsidP="005A64F9">
      <w:pPr>
        <w:pStyle w:val="20"/>
        <w:numPr>
          <w:ilvl w:val="0"/>
          <w:numId w:val="28"/>
        </w:numPr>
        <w:tabs>
          <w:tab w:val="num" w:pos="2160"/>
        </w:tabs>
        <w:ind w:left="567" w:hanging="567"/>
        <w:rPr>
          <w:rFonts w:eastAsiaTheme="minorEastAsia"/>
          <w:szCs w:val="20"/>
          <w:lang w:eastAsia="en-US"/>
        </w:rPr>
      </w:pPr>
      <w:r w:rsidRPr="004B0C36">
        <w:rPr>
          <w:rFonts w:eastAsiaTheme="minorEastAsia"/>
          <w:szCs w:val="20"/>
          <w:lang w:eastAsia="en-US"/>
        </w:rPr>
        <w:t>Actions:</w:t>
      </w:r>
    </w:p>
    <w:p w14:paraId="6CA731E5" w14:textId="252B9E49" w:rsidR="00FF748E" w:rsidRDefault="00FF748E" w:rsidP="005A64F9">
      <w:r w:rsidRPr="00FF748E">
        <w:t>RAN3 kindly asks SA2 to provide feedback on whether the Mobility Restriction function specified in TS 23.501 and TS 29.503 allows to configure EPS TAC defined by 2 octet as forbidden area defined in TS 29.571. Also, if necessary, please provide references to other appropriate specifications for this function or introduce necessary clarification on those specifications.</w:t>
      </w:r>
    </w:p>
    <w:p w14:paraId="02EFA435" w14:textId="77777777" w:rsidR="005A64F9" w:rsidRPr="00055AFE" w:rsidRDefault="005A64F9" w:rsidP="005A64F9">
      <w:pPr>
        <w:pStyle w:val="20"/>
        <w:numPr>
          <w:ilvl w:val="0"/>
          <w:numId w:val="28"/>
        </w:numPr>
        <w:tabs>
          <w:tab w:val="num" w:pos="2160"/>
        </w:tabs>
        <w:ind w:left="567" w:hanging="567"/>
        <w:rPr>
          <w:rFonts w:eastAsiaTheme="minorEastAsia"/>
          <w:szCs w:val="20"/>
          <w:lang w:eastAsia="en-US"/>
        </w:rPr>
      </w:pPr>
      <w:r w:rsidRPr="00055AFE">
        <w:rPr>
          <w:rFonts w:eastAsiaTheme="minorEastAsia"/>
          <w:szCs w:val="20"/>
          <w:lang w:eastAsia="en-US"/>
        </w:rPr>
        <w:t>Date of Next TSG-RAN3 Meetings:</w:t>
      </w:r>
    </w:p>
    <w:p w14:paraId="162E2747" w14:textId="6F6EED14" w:rsidR="005A64F9" w:rsidRDefault="005A64F9" w:rsidP="005A64F9">
      <w:pPr>
        <w:rPr>
          <w:rFonts w:eastAsiaTheme="minorEastAsia" w:cs="Arial"/>
          <w:bCs/>
          <w:color w:val="000000"/>
        </w:rPr>
      </w:pPr>
      <w:r>
        <w:rPr>
          <w:rFonts w:cs="Arial"/>
          <w:bCs/>
          <w:color w:val="000000"/>
        </w:rPr>
        <w:t>TSG-RAN</w:t>
      </w:r>
      <w:r>
        <w:rPr>
          <w:rFonts w:eastAsiaTheme="minorEastAsia" w:cs="Arial" w:hint="eastAsia"/>
          <w:bCs/>
          <w:color w:val="000000"/>
        </w:rPr>
        <w:t>3</w:t>
      </w:r>
      <w:r>
        <w:rPr>
          <w:rFonts w:cs="Arial"/>
          <w:bCs/>
          <w:color w:val="000000"/>
        </w:rPr>
        <w:t xml:space="preserve"> Meeting #12</w:t>
      </w:r>
      <w:r>
        <w:rPr>
          <w:rFonts w:cs="Arial" w:hint="eastAsia"/>
          <w:bCs/>
          <w:color w:val="000000"/>
        </w:rPr>
        <w:t>8</w:t>
      </w:r>
      <w:r>
        <w:rPr>
          <w:rFonts w:cs="Arial"/>
          <w:bCs/>
          <w:color w:val="000000"/>
        </w:rPr>
        <w:tab/>
      </w:r>
      <w:r>
        <w:rPr>
          <w:rFonts w:eastAsiaTheme="minorEastAsia" w:cs="Arial"/>
          <w:bCs/>
          <w:color w:val="000000"/>
        </w:rPr>
        <w:t>1</w:t>
      </w:r>
      <w:r>
        <w:rPr>
          <w:rFonts w:eastAsiaTheme="minorEastAsia" w:cs="Arial" w:hint="eastAsia"/>
          <w:bCs/>
          <w:color w:val="000000"/>
        </w:rPr>
        <w:t>9</w:t>
      </w:r>
      <w:r w:rsidRPr="0098722F">
        <w:rPr>
          <w:rFonts w:eastAsiaTheme="minorEastAsia" w:cs="Arial"/>
          <w:bCs/>
          <w:color w:val="000000"/>
          <w:vertAlign w:val="superscript"/>
        </w:rPr>
        <w:t>th</w:t>
      </w:r>
      <w:r>
        <w:rPr>
          <w:rFonts w:eastAsiaTheme="minorEastAsia" w:cs="Arial"/>
          <w:bCs/>
          <w:color w:val="000000"/>
        </w:rPr>
        <w:t xml:space="preserve"> – 2</w:t>
      </w:r>
      <w:r>
        <w:rPr>
          <w:rFonts w:eastAsiaTheme="minorEastAsia" w:cs="Arial" w:hint="eastAsia"/>
          <w:bCs/>
          <w:color w:val="000000"/>
        </w:rPr>
        <w:t>3</w:t>
      </w:r>
      <w:r w:rsidR="00CA2AD5">
        <w:rPr>
          <w:rFonts w:eastAsiaTheme="minorEastAsia" w:cs="Arial" w:hint="eastAsia"/>
          <w:bCs/>
          <w:color w:val="000000"/>
          <w:vertAlign w:val="superscript"/>
        </w:rPr>
        <w:t>rd</w:t>
      </w:r>
      <w:r>
        <w:rPr>
          <w:rFonts w:eastAsiaTheme="minorEastAsia" w:cs="Arial"/>
          <w:bCs/>
          <w:color w:val="000000"/>
        </w:rPr>
        <w:t xml:space="preserve"> </w:t>
      </w:r>
      <w:r>
        <w:rPr>
          <w:rFonts w:eastAsiaTheme="minorEastAsia" w:cs="Arial" w:hint="eastAsia"/>
          <w:bCs/>
          <w:color w:val="000000"/>
        </w:rPr>
        <w:t>May</w:t>
      </w:r>
      <w:r>
        <w:rPr>
          <w:rFonts w:eastAsiaTheme="minorEastAsia" w:cs="Arial"/>
          <w:bCs/>
          <w:color w:val="000000"/>
        </w:rPr>
        <w:t xml:space="preserve"> 202</w:t>
      </w:r>
      <w:r>
        <w:rPr>
          <w:rFonts w:eastAsiaTheme="minorEastAsia" w:cs="Arial" w:hint="eastAsia"/>
          <w:bCs/>
          <w:color w:val="000000"/>
        </w:rPr>
        <w:t>5</w:t>
      </w:r>
      <w:r>
        <w:rPr>
          <w:rFonts w:eastAsiaTheme="minorEastAsia" w:cs="Arial"/>
          <w:bCs/>
          <w:color w:val="000000"/>
        </w:rPr>
        <w:tab/>
      </w:r>
      <w:r>
        <w:rPr>
          <w:rFonts w:eastAsiaTheme="minorEastAsia" w:cs="Arial"/>
          <w:bCs/>
          <w:color w:val="000000"/>
        </w:rPr>
        <w:tab/>
      </w:r>
      <w:r>
        <w:rPr>
          <w:rFonts w:eastAsiaTheme="minorEastAsia" w:cs="Arial" w:hint="eastAsia"/>
          <w:bCs/>
          <w:color w:val="000000"/>
        </w:rPr>
        <w:t>Malta</w:t>
      </w:r>
    </w:p>
    <w:p w14:paraId="4ED9470D" w14:textId="3B91E30F" w:rsidR="00CA2AD5" w:rsidRDefault="00CA2AD5" w:rsidP="00CA2AD5">
      <w:pPr>
        <w:rPr>
          <w:rFonts w:eastAsiaTheme="minorEastAsia" w:cs="Arial"/>
          <w:bCs/>
          <w:color w:val="000000"/>
        </w:rPr>
      </w:pPr>
      <w:r>
        <w:rPr>
          <w:rFonts w:cs="Arial"/>
          <w:bCs/>
          <w:color w:val="000000"/>
        </w:rPr>
        <w:t>TSG-RAN</w:t>
      </w:r>
      <w:r>
        <w:rPr>
          <w:rFonts w:eastAsiaTheme="minorEastAsia" w:cs="Arial" w:hint="eastAsia"/>
          <w:bCs/>
          <w:color w:val="000000"/>
        </w:rPr>
        <w:t>3</w:t>
      </w:r>
      <w:r>
        <w:rPr>
          <w:rFonts w:cs="Arial"/>
          <w:bCs/>
          <w:color w:val="000000"/>
        </w:rPr>
        <w:t xml:space="preserve"> Meeting #12</w:t>
      </w:r>
      <w:r>
        <w:rPr>
          <w:rFonts w:cs="Arial" w:hint="eastAsia"/>
          <w:bCs/>
          <w:color w:val="000000"/>
        </w:rPr>
        <w:t>9</w:t>
      </w:r>
      <w:r>
        <w:rPr>
          <w:rFonts w:cs="Arial"/>
          <w:bCs/>
          <w:color w:val="000000"/>
        </w:rPr>
        <w:tab/>
      </w:r>
      <w:r>
        <w:rPr>
          <w:rFonts w:eastAsiaTheme="minorEastAsia" w:cs="Arial" w:hint="eastAsia"/>
          <w:bCs/>
          <w:color w:val="000000"/>
        </w:rPr>
        <w:t>25</w:t>
      </w:r>
      <w:r w:rsidRPr="0098722F">
        <w:rPr>
          <w:rFonts w:eastAsiaTheme="minorEastAsia" w:cs="Arial"/>
          <w:bCs/>
          <w:color w:val="000000"/>
          <w:vertAlign w:val="superscript"/>
        </w:rPr>
        <w:t>th</w:t>
      </w:r>
      <w:r>
        <w:rPr>
          <w:rFonts w:eastAsiaTheme="minorEastAsia" w:cs="Arial"/>
          <w:bCs/>
          <w:color w:val="000000"/>
        </w:rPr>
        <w:t xml:space="preserve"> – </w:t>
      </w:r>
      <w:r>
        <w:rPr>
          <w:rFonts w:eastAsiaTheme="minorEastAsia" w:cs="Arial" w:hint="eastAsia"/>
          <w:bCs/>
          <w:color w:val="000000"/>
        </w:rPr>
        <w:t>29</w:t>
      </w:r>
      <w:r w:rsidRPr="0098722F">
        <w:rPr>
          <w:rFonts w:eastAsiaTheme="minorEastAsia" w:cs="Arial"/>
          <w:bCs/>
          <w:color w:val="000000"/>
          <w:vertAlign w:val="superscript"/>
        </w:rPr>
        <w:t>th</w:t>
      </w:r>
      <w:r>
        <w:rPr>
          <w:rFonts w:eastAsiaTheme="minorEastAsia" w:cs="Arial"/>
          <w:bCs/>
          <w:color w:val="000000"/>
        </w:rPr>
        <w:t xml:space="preserve"> </w:t>
      </w:r>
      <w:r>
        <w:rPr>
          <w:rFonts w:eastAsiaTheme="minorEastAsia" w:cs="Arial" w:hint="eastAsia"/>
          <w:bCs/>
          <w:color w:val="000000"/>
        </w:rPr>
        <w:t>August</w:t>
      </w:r>
      <w:r>
        <w:rPr>
          <w:rFonts w:eastAsiaTheme="minorEastAsia" w:cs="Arial"/>
          <w:bCs/>
          <w:color w:val="000000"/>
        </w:rPr>
        <w:t xml:space="preserve"> 202</w:t>
      </w:r>
      <w:r>
        <w:rPr>
          <w:rFonts w:eastAsiaTheme="minorEastAsia" w:cs="Arial" w:hint="eastAsia"/>
          <w:bCs/>
          <w:color w:val="000000"/>
        </w:rPr>
        <w:t>5</w:t>
      </w:r>
      <w:r>
        <w:rPr>
          <w:rFonts w:eastAsiaTheme="minorEastAsia" w:cs="Arial"/>
          <w:bCs/>
          <w:color w:val="000000"/>
        </w:rPr>
        <w:tab/>
      </w:r>
      <w:r>
        <w:rPr>
          <w:rFonts w:eastAsiaTheme="minorEastAsia" w:cs="Arial"/>
          <w:bCs/>
          <w:color w:val="000000"/>
        </w:rPr>
        <w:tab/>
      </w:r>
      <w:r>
        <w:rPr>
          <w:rFonts w:eastAsiaTheme="minorEastAsia" w:cs="Arial" w:hint="eastAsia"/>
          <w:bCs/>
          <w:color w:val="000000"/>
        </w:rPr>
        <w:t>India</w:t>
      </w:r>
    </w:p>
    <w:p w14:paraId="077A5645" w14:textId="77777777" w:rsidR="00CA2AD5" w:rsidRPr="00CA2AD5" w:rsidRDefault="00CA2AD5" w:rsidP="005A64F9">
      <w:pPr>
        <w:rPr>
          <w:rFonts w:eastAsiaTheme="minorEastAsia" w:cs="Arial"/>
          <w:bCs/>
          <w:color w:val="000000"/>
        </w:rPr>
      </w:pPr>
    </w:p>
    <w:p w14:paraId="03A58BB7" w14:textId="77777777" w:rsidR="005A64F9" w:rsidRPr="00F62B09" w:rsidRDefault="005A64F9" w:rsidP="005A64F9">
      <w:pPr>
        <w:rPr>
          <w:rFonts w:eastAsiaTheme="minorEastAsia" w:cs="Arial"/>
          <w:bCs/>
          <w:color w:val="000000"/>
        </w:rPr>
      </w:pPr>
    </w:p>
    <w:p w14:paraId="00ED9273" w14:textId="77777777" w:rsidR="005A64F9" w:rsidRPr="000F687B" w:rsidRDefault="005A64F9" w:rsidP="005A64F9">
      <w:pPr>
        <w:pStyle w:val="3GPPHeader"/>
      </w:pPr>
    </w:p>
    <w:p w14:paraId="5CA880CC" w14:textId="77777777" w:rsidR="0061754A" w:rsidRPr="005A64F9" w:rsidRDefault="0061754A" w:rsidP="005A64F9">
      <w:pPr>
        <w:pStyle w:val="Reference"/>
        <w:numPr>
          <w:ilvl w:val="0"/>
          <w:numId w:val="0"/>
        </w:numPr>
        <w:ind w:left="567" w:hanging="567"/>
      </w:pPr>
    </w:p>
    <w:sectPr w:rsidR="0061754A" w:rsidRPr="005A64F9" w:rsidSect="005273BA">
      <w:headerReference w:type="even" r:id="rId14"/>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8AEA2" w14:textId="77777777" w:rsidR="002F5C7B" w:rsidRDefault="002F5C7B" w:rsidP="00277AAD">
      <w:pPr>
        <w:spacing w:after="0"/>
      </w:pPr>
      <w:r>
        <w:separator/>
      </w:r>
    </w:p>
  </w:endnote>
  <w:endnote w:type="continuationSeparator" w:id="0">
    <w:p w14:paraId="2E5BF64E" w14:textId="77777777" w:rsidR="002F5C7B" w:rsidRDefault="002F5C7B" w:rsidP="00277AAD">
      <w:pPr>
        <w:spacing w:after="0"/>
      </w:pPr>
      <w:r>
        <w:continuationSeparator/>
      </w:r>
    </w:p>
  </w:endnote>
  <w:endnote w:type="continuationNotice" w:id="1">
    <w:p w14:paraId="6B65E25D" w14:textId="77777777" w:rsidR="002F5C7B" w:rsidRDefault="002F5C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73223" w14:textId="77777777" w:rsidR="002F5C7B" w:rsidRDefault="002F5C7B" w:rsidP="00277AAD">
      <w:pPr>
        <w:spacing w:after="0"/>
      </w:pPr>
      <w:r>
        <w:separator/>
      </w:r>
    </w:p>
  </w:footnote>
  <w:footnote w:type="continuationSeparator" w:id="0">
    <w:p w14:paraId="0062759B" w14:textId="77777777" w:rsidR="002F5C7B" w:rsidRDefault="002F5C7B" w:rsidP="00277AAD">
      <w:pPr>
        <w:spacing w:after="0"/>
      </w:pPr>
      <w:r>
        <w:continuationSeparator/>
      </w:r>
    </w:p>
  </w:footnote>
  <w:footnote w:type="continuationNotice" w:id="1">
    <w:p w14:paraId="15A1C05C" w14:textId="77777777" w:rsidR="002F5C7B" w:rsidRDefault="002F5C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4"/>
  </w:num>
  <w:num w:numId="2" w16cid:durableId="1664817144">
    <w:abstractNumId w:val="19"/>
  </w:num>
  <w:num w:numId="3" w16cid:durableId="1242643675">
    <w:abstractNumId w:val="16"/>
  </w:num>
  <w:num w:numId="4" w16cid:durableId="753162537">
    <w:abstractNumId w:val="17"/>
  </w:num>
  <w:num w:numId="5" w16cid:durableId="1944871865">
    <w:abstractNumId w:val="24"/>
  </w:num>
  <w:num w:numId="6" w16cid:durableId="586352714">
    <w:abstractNumId w:val="22"/>
  </w:num>
  <w:num w:numId="7" w16cid:durableId="1696693084">
    <w:abstractNumId w:val="21"/>
  </w:num>
  <w:num w:numId="8" w16cid:durableId="1734739883">
    <w:abstractNumId w:val="6"/>
  </w:num>
  <w:num w:numId="9" w16cid:durableId="7864643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8"/>
  </w:num>
  <w:num w:numId="11" w16cid:durableId="13145301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4"/>
  </w:num>
  <w:num w:numId="13" w16cid:durableId="769086999">
    <w:abstractNumId w:val="22"/>
  </w:num>
  <w:num w:numId="14" w16cid:durableId="872618939">
    <w:abstractNumId w:val="2"/>
  </w:num>
  <w:num w:numId="15" w16cid:durableId="17128378">
    <w:abstractNumId w:val="9"/>
  </w:num>
  <w:num w:numId="16" w16cid:durableId="951322638">
    <w:abstractNumId w:val="18"/>
  </w:num>
  <w:num w:numId="17" w16cid:durableId="1501702934">
    <w:abstractNumId w:val="12"/>
  </w:num>
  <w:num w:numId="18" w16cid:durableId="2147776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10"/>
  </w:num>
  <w:num w:numId="20" w16cid:durableId="800541262">
    <w:abstractNumId w:val="23"/>
  </w:num>
  <w:num w:numId="21" w16cid:durableId="758334044">
    <w:abstractNumId w:val="7"/>
  </w:num>
  <w:num w:numId="22" w16cid:durableId="182473678">
    <w:abstractNumId w:val="20"/>
  </w:num>
  <w:num w:numId="23" w16cid:durableId="1500535373">
    <w:abstractNumId w:val="1"/>
  </w:num>
  <w:num w:numId="24" w16cid:durableId="1888566894">
    <w:abstractNumId w:val="13"/>
  </w:num>
  <w:num w:numId="25" w16cid:durableId="1730571342">
    <w:abstractNumId w:val="15"/>
  </w:num>
  <w:num w:numId="26" w16cid:durableId="550580868">
    <w:abstractNumId w:val="0"/>
  </w:num>
  <w:num w:numId="27" w16cid:durableId="1927767704">
    <w:abstractNumId w:val="5"/>
  </w:num>
  <w:num w:numId="28" w16cid:durableId="146905522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327D"/>
    <w:rsid w:val="000447AC"/>
    <w:rsid w:val="00050A81"/>
    <w:rsid w:val="00052C7D"/>
    <w:rsid w:val="00057BF9"/>
    <w:rsid w:val="00067871"/>
    <w:rsid w:val="000713E2"/>
    <w:rsid w:val="00075461"/>
    <w:rsid w:val="00077A38"/>
    <w:rsid w:val="00077B80"/>
    <w:rsid w:val="00080B65"/>
    <w:rsid w:val="0008505A"/>
    <w:rsid w:val="00085AA4"/>
    <w:rsid w:val="000863D0"/>
    <w:rsid w:val="0009139D"/>
    <w:rsid w:val="000937B4"/>
    <w:rsid w:val="000A0539"/>
    <w:rsid w:val="000A6ED3"/>
    <w:rsid w:val="000A6F7B"/>
    <w:rsid w:val="000C0578"/>
    <w:rsid w:val="000C32B5"/>
    <w:rsid w:val="000C5230"/>
    <w:rsid w:val="000C6DCD"/>
    <w:rsid w:val="000D43B1"/>
    <w:rsid w:val="000D6B91"/>
    <w:rsid w:val="000D7917"/>
    <w:rsid w:val="000E1E27"/>
    <w:rsid w:val="000E51FE"/>
    <w:rsid w:val="000F0002"/>
    <w:rsid w:val="000F1B6D"/>
    <w:rsid w:val="000F4B46"/>
    <w:rsid w:val="000F5D5E"/>
    <w:rsid w:val="00100216"/>
    <w:rsid w:val="00103C72"/>
    <w:rsid w:val="00103FD0"/>
    <w:rsid w:val="00117773"/>
    <w:rsid w:val="00120F8D"/>
    <w:rsid w:val="00123857"/>
    <w:rsid w:val="0013001D"/>
    <w:rsid w:val="0014116D"/>
    <w:rsid w:val="001415A5"/>
    <w:rsid w:val="0014296C"/>
    <w:rsid w:val="00142BCE"/>
    <w:rsid w:val="0014525B"/>
    <w:rsid w:val="001453C1"/>
    <w:rsid w:val="00147296"/>
    <w:rsid w:val="00150F48"/>
    <w:rsid w:val="00151CC8"/>
    <w:rsid w:val="00153462"/>
    <w:rsid w:val="001540CF"/>
    <w:rsid w:val="00154D96"/>
    <w:rsid w:val="00157DA4"/>
    <w:rsid w:val="00161F97"/>
    <w:rsid w:val="0016216D"/>
    <w:rsid w:val="00162274"/>
    <w:rsid w:val="00165A8E"/>
    <w:rsid w:val="00166B9B"/>
    <w:rsid w:val="00171A6B"/>
    <w:rsid w:val="00174608"/>
    <w:rsid w:val="00181130"/>
    <w:rsid w:val="001824D7"/>
    <w:rsid w:val="001920C1"/>
    <w:rsid w:val="00192388"/>
    <w:rsid w:val="0019328D"/>
    <w:rsid w:val="00196EEA"/>
    <w:rsid w:val="001A2D65"/>
    <w:rsid w:val="001A3CA6"/>
    <w:rsid w:val="001A4369"/>
    <w:rsid w:val="001A4D97"/>
    <w:rsid w:val="001B38BD"/>
    <w:rsid w:val="001C15BD"/>
    <w:rsid w:val="001C3300"/>
    <w:rsid w:val="001C78EB"/>
    <w:rsid w:val="001D2B3A"/>
    <w:rsid w:val="001D6802"/>
    <w:rsid w:val="001E0168"/>
    <w:rsid w:val="001E0497"/>
    <w:rsid w:val="001E42B7"/>
    <w:rsid w:val="001E4CF4"/>
    <w:rsid w:val="001E6021"/>
    <w:rsid w:val="001E6C71"/>
    <w:rsid w:val="001F39CD"/>
    <w:rsid w:val="001F3EBA"/>
    <w:rsid w:val="001F4FBA"/>
    <w:rsid w:val="00201320"/>
    <w:rsid w:val="00206111"/>
    <w:rsid w:val="00210DE0"/>
    <w:rsid w:val="00212D14"/>
    <w:rsid w:val="00213AE4"/>
    <w:rsid w:val="002233E3"/>
    <w:rsid w:val="0022475E"/>
    <w:rsid w:val="00225BDF"/>
    <w:rsid w:val="00231B09"/>
    <w:rsid w:val="00240E97"/>
    <w:rsid w:val="00244310"/>
    <w:rsid w:val="00244BD5"/>
    <w:rsid w:val="00245D82"/>
    <w:rsid w:val="002460F4"/>
    <w:rsid w:val="00247A9A"/>
    <w:rsid w:val="00250B34"/>
    <w:rsid w:val="00254977"/>
    <w:rsid w:val="002562D2"/>
    <w:rsid w:val="0026062C"/>
    <w:rsid w:val="00260842"/>
    <w:rsid w:val="002641D8"/>
    <w:rsid w:val="002651DA"/>
    <w:rsid w:val="002717D1"/>
    <w:rsid w:val="0027446D"/>
    <w:rsid w:val="00277AAD"/>
    <w:rsid w:val="00280A86"/>
    <w:rsid w:val="00285060"/>
    <w:rsid w:val="002854CC"/>
    <w:rsid w:val="00291C41"/>
    <w:rsid w:val="002A391C"/>
    <w:rsid w:val="002B174D"/>
    <w:rsid w:val="002B3029"/>
    <w:rsid w:val="002B39AB"/>
    <w:rsid w:val="002C1385"/>
    <w:rsid w:val="002C5F98"/>
    <w:rsid w:val="002C777A"/>
    <w:rsid w:val="002D0C73"/>
    <w:rsid w:val="002D1BA9"/>
    <w:rsid w:val="002D2B1B"/>
    <w:rsid w:val="002D3C03"/>
    <w:rsid w:val="002D3DA0"/>
    <w:rsid w:val="002E0274"/>
    <w:rsid w:val="002E134B"/>
    <w:rsid w:val="002E40EF"/>
    <w:rsid w:val="002E51E5"/>
    <w:rsid w:val="002F0D7D"/>
    <w:rsid w:val="002F4247"/>
    <w:rsid w:val="002F5C7B"/>
    <w:rsid w:val="002F7ECB"/>
    <w:rsid w:val="00302688"/>
    <w:rsid w:val="00302C9F"/>
    <w:rsid w:val="00302E02"/>
    <w:rsid w:val="0030315D"/>
    <w:rsid w:val="00304EB8"/>
    <w:rsid w:val="00305EFD"/>
    <w:rsid w:val="003061DA"/>
    <w:rsid w:val="00306401"/>
    <w:rsid w:val="00306936"/>
    <w:rsid w:val="00312032"/>
    <w:rsid w:val="0031219C"/>
    <w:rsid w:val="00312544"/>
    <w:rsid w:val="0031481E"/>
    <w:rsid w:val="00314BD0"/>
    <w:rsid w:val="003168E6"/>
    <w:rsid w:val="00320EC5"/>
    <w:rsid w:val="00327D85"/>
    <w:rsid w:val="003316FE"/>
    <w:rsid w:val="00331F0E"/>
    <w:rsid w:val="00332BBC"/>
    <w:rsid w:val="003344F3"/>
    <w:rsid w:val="00347C0A"/>
    <w:rsid w:val="00352875"/>
    <w:rsid w:val="00366B56"/>
    <w:rsid w:val="00367F5E"/>
    <w:rsid w:val="00375D4F"/>
    <w:rsid w:val="00376F83"/>
    <w:rsid w:val="00384087"/>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3D2E"/>
    <w:rsid w:val="003E5341"/>
    <w:rsid w:val="003E6FC6"/>
    <w:rsid w:val="003E7731"/>
    <w:rsid w:val="00410E8D"/>
    <w:rsid w:val="00413D81"/>
    <w:rsid w:val="0042082E"/>
    <w:rsid w:val="00427743"/>
    <w:rsid w:val="00434AD1"/>
    <w:rsid w:val="00436293"/>
    <w:rsid w:val="00445FCE"/>
    <w:rsid w:val="00446134"/>
    <w:rsid w:val="00446294"/>
    <w:rsid w:val="00450702"/>
    <w:rsid w:val="00451E4E"/>
    <w:rsid w:val="00452CF0"/>
    <w:rsid w:val="004769BB"/>
    <w:rsid w:val="00481C6D"/>
    <w:rsid w:val="00485C54"/>
    <w:rsid w:val="00487384"/>
    <w:rsid w:val="004901C7"/>
    <w:rsid w:val="00490B4C"/>
    <w:rsid w:val="00492325"/>
    <w:rsid w:val="00493A5D"/>
    <w:rsid w:val="004C1DA6"/>
    <w:rsid w:val="004C2854"/>
    <w:rsid w:val="004C455D"/>
    <w:rsid w:val="004D0A65"/>
    <w:rsid w:val="004D597D"/>
    <w:rsid w:val="004E100C"/>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4729"/>
    <w:rsid w:val="00585A8F"/>
    <w:rsid w:val="00585DB7"/>
    <w:rsid w:val="00585DED"/>
    <w:rsid w:val="00587BFF"/>
    <w:rsid w:val="00591985"/>
    <w:rsid w:val="00592A29"/>
    <w:rsid w:val="0059362B"/>
    <w:rsid w:val="005937FE"/>
    <w:rsid w:val="005A3078"/>
    <w:rsid w:val="005A64F9"/>
    <w:rsid w:val="005B1CAC"/>
    <w:rsid w:val="005B43FF"/>
    <w:rsid w:val="005B6353"/>
    <w:rsid w:val="005C43AF"/>
    <w:rsid w:val="005C57B6"/>
    <w:rsid w:val="005D0228"/>
    <w:rsid w:val="005D2968"/>
    <w:rsid w:val="005D7A30"/>
    <w:rsid w:val="005E00E8"/>
    <w:rsid w:val="005E2BEC"/>
    <w:rsid w:val="005E30CD"/>
    <w:rsid w:val="005F50CF"/>
    <w:rsid w:val="00601EA7"/>
    <w:rsid w:val="006040BD"/>
    <w:rsid w:val="006163A2"/>
    <w:rsid w:val="0061754A"/>
    <w:rsid w:val="00622627"/>
    <w:rsid w:val="00622D99"/>
    <w:rsid w:val="00650641"/>
    <w:rsid w:val="006506AA"/>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2C21"/>
    <w:rsid w:val="0068301A"/>
    <w:rsid w:val="00684D84"/>
    <w:rsid w:val="00692F51"/>
    <w:rsid w:val="006A3A54"/>
    <w:rsid w:val="006B17C9"/>
    <w:rsid w:val="006B2BA8"/>
    <w:rsid w:val="006B3F0B"/>
    <w:rsid w:val="006C3A5A"/>
    <w:rsid w:val="006C598E"/>
    <w:rsid w:val="006D1688"/>
    <w:rsid w:val="006D1CC4"/>
    <w:rsid w:val="006D499B"/>
    <w:rsid w:val="006D766A"/>
    <w:rsid w:val="006D774A"/>
    <w:rsid w:val="006E48D6"/>
    <w:rsid w:val="006F1266"/>
    <w:rsid w:val="006F4B81"/>
    <w:rsid w:val="0070046B"/>
    <w:rsid w:val="0070108C"/>
    <w:rsid w:val="007149E1"/>
    <w:rsid w:val="00716359"/>
    <w:rsid w:val="00730BA1"/>
    <w:rsid w:val="007344AC"/>
    <w:rsid w:val="00734981"/>
    <w:rsid w:val="00734C67"/>
    <w:rsid w:val="007367AA"/>
    <w:rsid w:val="0074094A"/>
    <w:rsid w:val="00741EB0"/>
    <w:rsid w:val="0074308E"/>
    <w:rsid w:val="0074580F"/>
    <w:rsid w:val="007461FE"/>
    <w:rsid w:val="007473E3"/>
    <w:rsid w:val="00750E63"/>
    <w:rsid w:val="0075186D"/>
    <w:rsid w:val="00752444"/>
    <w:rsid w:val="00761D18"/>
    <w:rsid w:val="00763CFB"/>
    <w:rsid w:val="00771353"/>
    <w:rsid w:val="00782555"/>
    <w:rsid w:val="00783F2F"/>
    <w:rsid w:val="007871A4"/>
    <w:rsid w:val="00787693"/>
    <w:rsid w:val="007A62A9"/>
    <w:rsid w:val="007A7127"/>
    <w:rsid w:val="007A7D78"/>
    <w:rsid w:val="007B27FE"/>
    <w:rsid w:val="007B3D2A"/>
    <w:rsid w:val="007C0300"/>
    <w:rsid w:val="007C08D4"/>
    <w:rsid w:val="007C2B40"/>
    <w:rsid w:val="007C5560"/>
    <w:rsid w:val="007C759B"/>
    <w:rsid w:val="007C7627"/>
    <w:rsid w:val="007D352C"/>
    <w:rsid w:val="007D3925"/>
    <w:rsid w:val="007D6512"/>
    <w:rsid w:val="007D6C49"/>
    <w:rsid w:val="007D6D7B"/>
    <w:rsid w:val="007E24FF"/>
    <w:rsid w:val="007E2ACF"/>
    <w:rsid w:val="007E56C4"/>
    <w:rsid w:val="007F0647"/>
    <w:rsid w:val="007F0D71"/>
    <w:rsid w:val="007F31F0"/>
    <w:rsid w:val="007F6119"/>
    <w:rsid w:val="007F6408"/>
    <w:rsid w:val="00800FD6"/>
    <w:rsid w:val="00801B89"/>
    <w:rsid w:val="008038A4"/>
    <w:rsid w:val="00807936"/>
    <w:rsid w:val="00812EF6"/>
    <w:rsid w:val="008145CD"/>
    <w:rsid w:val="00816AE8"/>
    <w:rsid w:val="00826896"/>
    <w:rsid w:val="0083437A"/>
    <w:rsid w:val="00840AD1"/>
    <w:rsid w:val="00845537"/>
    <w:rsid w:val="00852F7C"/>
    <w:rsid w:val="0085569E"/>
    <w:rsid w:val="008641BF"/>
    <w:rsid w:val="008643BE"/>
    <w:rsid w:val="0087082E"/>
    <w:rsid w:val="00871B8C"/>
    <w:rsid w:val="008861F2"/>
    <w:rsid w:val="00893D3A"/>
    <w:rsid w:val="00897B68"/>
    <w:rsid w:val="008A1390"/>
    <w:rsid w:val="008B1C2A"/>
    <w:rsid w:val="008B7650"/>
    <w:rsid w:val="008C3CED"/>
    <w:rsid w:val="008D116E"/>
    <w:rsid w:val="008D2440"/>
    <w:rsid w:val="008D2FD6"/>
    <w:rsid w:val="008D3FB0"/>
    <w:rsid w:val="008D5EE7"/>
    <w:rsid w:val="008D75BA"/>
    <w:rsid w:val="008E2309"/>
    <w:rsid w:val="008F3724"/>
    <w:rsid w:val="008F464F"/>
    <w:rsid w:val="008F5BDE"/>
    <w:rsid w:val="009016EF"/>
    <w:rsid w:val="009134F8"/>
    <w:rsid w:val="00917F62"/>
    <w:rsid w:val="00921924"/>
    <w:rsid w:val="0092485E"/>
    <w:rsid w:val="009256CE"/>
    <w:rsid w:val="009257E4"/>
    <w:rsid w:val="00925ED1"/>
    <w:rsid w:val="00930A5D"/>
    <w:rsid w:val="00930EE4"/>
    <w:rsid w:val="0093230A"/>
    <w:rsid w:val="00932F29"/>
    <w:rsid w:val="0093331C"/>
    <w:rsid w:val="00933FC9"/>
    <w:rsid w:val="0094007D"/>
    <w:rsid w:val="00942214"/>
    <w:rsid w:val="00946939"/>
    <w:rsid w:val="00947D62"/>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93E95"/>
    <w:rsid w:val="009964C5"/>
    <w:rsid w:val="009A1130"/>
    <w:rsid w:val="009A1445"/>
    <w:rsid w:val="009A1A2E"/>
    <w:rsid w:val="009A41AC"/>
    <w:rsid w:val="009A5844"/>
    <w:rsid w:val="009A6208"/>
    <w:rsid w:val="009A7209"/>
    <w:rsid w:val="009B0B09"/>
    <w:rsid w:val="009C01BD"/>
    <w:rsid w:val="009C0295"/>
    <w:rsid w:val="009C6A73"/>
    <w:rsid w:val="009D030E"/>
    <w:rsid w:val="009D475A"/>
    <w:rsid w:val="009E1EBC"/>
    <w:rsid w:val="009E4B3F"/>
    <w:rsid w:val="009E52C3"/>
    <w:rsid w:val="009F3101"/>
    <w:rsid w:val="009F523A"/>
    <w:rsid w:val="009F6E28"/>
    <w:rsid w:val="00A02576"/>
    <w:rsid w:val="00A13493"/>
    <w:rsid w:val="00A2096D"/>
    <w:rsid w:val="00A36061"/>
    <w:rsid w:val="00A36CD6"/>
    <w:rsid w:val="00A40685"/>
    <w:rsid w:val="00A443E2"/>
    <w:rsid w:val="00A44957"/>
    <w:rsid w:val="00A504E7"/>
    <w:rsid w:val="00A534E4"/>
    <w:rsid w:val="00A5395E"/>
    <w:rsid w:val="00A60249"/>
    <w:rsid w:val="00A62476"/>
    <w:rsid w:val="00A642C5"/>
    <w:rsid w:val="00A72986"/>
    <w:rsid w:val="00A72DBD"/>
    <w:rsid w:val="00A736D6"/>
    <w:rsid w:val="00A75003"/>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0E65"/>
    <w:rsid w:val="00AE73FE"/>
    <w:rsid w:val="00AE7B7A"/>
    <w:rsid w:val="00B023B4"/>
    <w:rsid w:val="00B04D1B"/>
    <w:rsid w:val="00B07684"/>
    <w:rsid w:val="00B1072F"/>
    <w:rsid w:val="00B10B58"/>
    <w:rsid w:val="00B13187"/>
    <w:rsid w:val="00B15591"/>
    <w:rsid w:val="00B16CEE"/>
    <w:rsid w:val="00B21136"/>
    <w:rsid w:val="00B22FC2"/>
    <w:rsid w:val="00B3163E"/>
    <w:rsid w:val="00B36FC0"/>
    <w:rsid w:val="00B41EFD"/>
    <w:rsid w:val="00B47036"/>
    <w:rsid w:val="00B53237"/>
    <w:rsid w:val="00B53BA5"/>
    <w:rsid w:val="00B55E0F"/>
    <w:rsid w:val="00B565C3"/>
    <w:rsid w:val="00B5790B"/>
    <w:rsid w:val="00B66A66"/>
    <w:rsid w:val="00B75C4A"/>
    <w:rsid w:val="00B77785"/>
    <w:rsid w:val="00B8283F"/>
    <w:rsid w:val="00B8332F"/>
    <w:rsid w:val="00B872F4"/>
    <w:rsid w:val="00B92E19"/>
    <w:rsid w:val="00B931A5"/>
    <w:rsid w:val="00B93217"/>
    <w:rsid w:val="00B934B7"/>
    <w:rsid w:val="00BA0CAF"/>
    <w:rsid w:val="00BA4116"/>
    <w:rsid w:val="00BA4B17"/>
    <w:rsid w:val="00BA4C5B"/>
    <w:rsid w:val="00BA6190"/>
    <w:rsid w:val="00BB0BB1"/>
    <w:rsid w:val="00BB4DDB"/>
    <w:rsid w:val="00BC0EF9"/>
    <w:rsid w:val="00BC3F74"/>
    <w:rsid w:val="00BC49F2"/>
    <w:rsid w:val="00BC7A1E"/>
    <w:rsid w:val="00BD2EF6"/>
    <w:rsid w:val="00BD3A06"/>
    <w:rsid w:val="00BD6D0D"/>
    <w:rsid w:val="00BF0AE0"/>
    <w:rsid w:val="00BF0CC0"/>
    <w:rsid w:val="00BF2AB9"/>
    <w:rsid w:val="00BF4159"/>
    <w:rsid w:val="00BF5240"/>
    <w:rsid w:val="00C064BC"/>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56F1C"/>
    <w:rsid w:val="00C601E6"/>
    <w:rsid w:val="00C65FDD"/>
    <w:rsid w:val="00C668CB"/>
    <w:rsid w:val="00C66CB7"/>
    <w:rsid w:val="00C670AB"/>
    <w:rsid w:val="00C73D98"/>
    <w:rsid w:val="00C7498A"/>
    <w:rsid w:val="00C74C47"/>
    <w:rsid w:val="00C819E0"/>
    <w:rsid w:val="00C82617"/>
    <w:rsid w:val="00C82EC5"/>
    <w:rsid w:val="00C85D63"/>
    <w:rsid w:val="00C949A8"/>
    <w:rsid w:val="00C95162"/>
    <w:rsid w:val="00CA2AD5"/>
    <w:rsid w:val="00CA46EA"/>
    <w:rsid w:val="00CB3167"/>
    <w:rsid w:val="00CB31B2"/>
    <w:rsid w:val="00CB6B55"/>
    <w:rsid w:val="00CB725E"/>
    <w:rsid w:val="00CC120A"/>
    <w:rsid w:val="00CC5C89"/>
    <w:rsid w:val="00CC77F1"/>
    <w:rsid w:val="00CD24B9"/>
    <w:rsid w:val="00CD42D3"/>
    <w:rsid w:val="00CD42FE"/>
    <w:rsid w:val="00CD4A26"/>
    <w:rsid w:val="00CF3EAA"/>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4B19"/>
    <w:rsid w:val="00D57802"/>
    <w:rsid w:val="00D6027D"/>
    <w:rsid w:val="00D71762"/>
    <w:rsid w:val="00D7201E"/>
    <w:rsid w:val="00D74466"/>
    <w:rsid w:val="00D82D76"/>
    <w:rsid w:val="00D87B8D"/>
    <w:rsid w:val="00D90AFD"/>
    <w:rsid w:val="00D93865"/>
    <w:rsid w:val="00D94609"/>
    <w:rsid w:val="00DA0CEC"/>
    <w:rsid w:val="00DA539B"/>
    <w:rsid w:val="00DA5E21"/>
    <w:rsid w:val="00DA60B2"/>
    <w:rsid w:val="00DB119E"/>
    <w:rsid w:val="00DC0F2C"/>
    <w:rsid w:val="00DC3904"/>
    <w:rsid w:val="00DC4196"/>
    <w:rsid w:val="00DC4CEE"/>
    <w:rsid w:val="00DC627C"/>
    <w:rsid w:val="00DD0EFA"/>
    <w:rsid w:val="00DD2BA1"/>
    <w:rsid w:val="00DD5E73"/>
    <w:rsid w:val="00DE01A3"/>
    <w:rsid w:val="00DE1AD6"/>
    <w:rsid w:val="00DE2EC2"/>
    <w:rsid w:val="00DE4BC9"/>
    <w:rsid w:val="00DF0755"/>
    <w:rsid w:val="00DF0999"/>
    <w:rsid w:val="00DF2A62"/>
    <w:rsid w:val="00E101B8"/>
    <w:rsid w:val="00E11908"/>
    <w:rsid w:val="00E12382"/>
    <w:rsid w:val="00E136A8"/>
    <w:rsid w:val="00E14902"/>
    <w:rsid w:val="00E16B40"/>
    <w:rsid w:val="00E16FC1"/>
    <w:rsid w:val="00E24350"/>
    <w:rsid w:val="00E250A8"/>
    <w:rsid w:val="00E2516D"/>
    <w:rsid w:val="00E31E2C"/>
    <w:rsid w:val="00E33432"/>
    <w:rsid w:val="00E41E0E"/>
    <w:rsid w:val="00E439B0"/>
    <w:rsid w:val="00E45140"/>
    <w:rsid w:val="00E46AE4"/>
    <w:rsid w:val="00E46E40"/>
    <w:rsid w:val="00E47B13"/>
    <w:rsid w:val="00E525E7"/>
    <w:rsid w:val="00E57C40"/>
    <w:rsid w:val="00E66FCD"/>
    <w:rsid w:val="00E819C4"/>
    <w:rsid w:val="00E82C42"/>
    <w:rsid w:val="00E84D08"/>
    <w:rsid w:val="00E90A4F"/>
    <w:rsid w:val="00E93C0F"/>
    <w:rsid w:val="00E9724F"/>
    <w:rsid w:val="00EA615A"/>
    <w:rsid w:val="00EA6CAA"/>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3D75"/>
    <w:rsid w:val="00EE4815"/>
    <w:rsid w:val="00EE6403"/>
    <w:rsid w:val="00EE6DCC"/>
    <w:rsid w:val="00EF024C"/>
    <w:rsid w:val="00EF0674"/>
    <w:rsid w:val="00EF0F32"/>
    <w:rsid w:val="00EF126E"/>
    <w:rsid w:val="00EF4E74"/>
    <w:rsid w:val="00EF5404"/>
    <w:rsid w:val="00EF65FA"/>
    <w:rsid w:val="00EF6CC8"/>
    <w:rsid w:val="00F02532"/>
    <w:rsid w:val="00F05834"/>
    <w:rsid w:val="00F07876"/>
    <w:rsid w:val="00F1025F"/>
    <w:rsid w:val="00F10670"/>
    <w:rsid w:val="00F140DA"/>
    <w:rsid w:val="00F229FA"/>
    <w:rsid w:val="00F23909"/>
    <w:rsid w:val="00F24782"/>
    <w:rsid w:val="00F27888"/>
    <w:rsid w:val="00F361DA"/>
    <w:rsid w:val="00F4149D"/>
    <w:rsid w:val="00F4317C"/>
    <w:rsid w:val="00F4615D"/>
    <w:rsid w:val="00F5371A"/>
    <w:rsid w:val="00F545D8"/>
    <w:rsid w:val="00F54819"/>
    <w:rsid w:val="00F55D04"/>
    <w:rsid w:val="00F55FBE"/>
    <w:rsid w:val="00F6580A"/>
    <w:rsid w:val="00F75FAF"/>
    <w:rsid w:val="00F86B13"/>
    <w:rsid w:val="00F90D5C"/>
    <w:rsid w:val="00F948AD"/>
    <w:rsid w:val="00FA5E8B"/>
    <w:rsid w:val="00FB4695"/>
    <w:rsid w:val="00FB6E37"/>
    <w:rsid w:val="00FC304E"/>
    <w:rsid w:val="00FC337A"/>
    <w:rsid w:val="00FC453C"/>
    <w:rsid w:val="00FC7B15"/>
    <w:rsid w:val="00FD0FD7"/>
    <w:rsid w:val="00FD1BE2"/>
    <w:rsid w:val="00FD36F8"/>
    <w:rsid w:val="00FD4706"/>
    <w:rsid w:val="00FE5152"/>
    <w:rsid w:val="00FE7B8D"/>
    <w:rsid w:val="00FF0B3F"/>
    <w:rsid w:val="00FF589B"/>
    <w:rsid w:val="00FF748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uiPriority w:val="99"/>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Inbox\R3-250753.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6786d483-f51b-44bd-b40a-6fe409a5265e}" enabled="0" method="" siteId="{6786d483-f51b-44bd-b40a-6fe409a5265e}" actionId="{35a4fb35-49d6-4753-9b98-4b28d94fe61e}" removed="1"/>
</clbl:labelList>
</file>

<file path=docProps/app.xml><?xml version="1.0" encoding="utf-8"?>
<Properties xmlns="http://schemas.openxmlformats.org/officeDocument/2006/extended-properties" xmlns:vt="http://schemas.openxmlformats.org/officeDocument/2006/docPropsVTypes">
  <Template>Normal.dotm</Template>
  <TotalTime>1176</TotalTime>
  <Pages>4</Pages>
  <Words>1228</Words>
  <Characters>7005</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125</cp:revision>
  <cp:lastPrinted>2036-02-07T05:28:00Z</cp:lastPrinted>
  <dcterms:created xsi:type="dcterms:W3CDTF">2023-04-07T05:26:00Z</dcterms:created>
  <dcterms:modified xsi:type="dcterms:W3CDTF">2025-03-28T06:12:00Z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2024-11-08T02:18:34Z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55379e7d-abd8-4df0-9a2b-e99a0c241da5</vt:lpwstr>
  </property>
  <property fmtid="{D5CDD505-2E9C-101B-9397-08002B2CF9AE}" pid="9" name="MSIP_Label_f7b7771f-98a2-4ec9-8160-ee37e9359e20_ContentBits">
    <vt:lpwstr>0</vt:lpwstr>
  </property>
</Properties>
</file>